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 xml:space="preserve">ASPECTOS MORFOMÉTRICOS DE </w:t>
      </w:r>
      <w:proofErr w:type="spellStart"/>
      <w:r w:rsidRPr="000F49BB">
        <w:rPr>
          <w:rFonts w:ascii="Century Gothic" w:hAnsi="Century Gothic"/>
          <w:b/>
          <w:i/>
          <w:sz w:val="22"/>
          <w:szCs w:val="22"/>
        </w:rPr>
        <w:t>Ceraeochrysa</w:t>
      </w:r>
      <w:proofErr w:type="spellEnd"/>
      <w:r w:rsidRPr="000F49BB">
        <w:rPr>
          <w:rFonts w:ascii="Century Gothic" w:hAnsi="Century Gothic"/>
          <w:b/>
          <w:i/>
          <w:sz w:val="22"/>
          <w:szCs w:val="22"/>
        </w:rPr>
        <w:t xml:space="preserve"> </w:t>
      </w:r>
      <w:proofErr w:type="spellStart"/>
      <w:r w:rsidRPr="000F49BB">
        <w:rPr>
          <w:rFonts w:ascii="Century Gothic" w:hAnsi="Century Gothic"/>
          <w:b/>
          <w:i/>
          <w:sz w:val="22"/>
          <w:szCs w:val="22"/>
        </w:rPr>
        <w:t>paraguaria</w:t>
      </w:r>
      <w:proofErr w:type="spellEnd"/>
      <w:r w:rsidRPr="000F49BB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b/>
          <w:sz w:val="22"/>
          <w:szCs w:val="22"/>
        </w:rPr>
        <w:t xml:space="preserve">(NAVÁS, 1920) (NEUROPTERA: CHRYSOPIDAE) ALIMENTADA COM DIFERENTES </w:t>
      </w:r>
      <w:proofErr w:type="gramStart"/>
      <w:r w:rsidRPr="000F49BB">
        <w:rPr>
          <w:rFonts w:ascii="Century Gothic" w:hAnsi="Century Gothic"/>
          <w:b/>
          <w:sz w:val="22"/>
          <w:szCs w:val="22"/>
        </w:rPr>
        <w:t>PRESAS</w:t>
      </w:r>
      <w:proofErr w:type="gramEnd"/>
    </w:p>
    <w:p w:rsidR="001A5F61" w:rsidRPr="000F49BB" w:rsidRDefault="001A5F61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6543BA" w:rsidRDefault="006543BA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97F66" w:rsidRPr="000F49BB" w:rsidRDefault="00897F66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</w:p>
    <w:p w:rsidR="00143169" w:rsidRPr="000F49BB" w:rsidRDefault="00143169" w:rsidP="006543BA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1A5F61" w:rsidRPr="000F49BB" w:rsidRDefault="008B7C4A" w:rsidP="008B7C4A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 xml:space="preserve">RESUMO - </w:t>
      </w:r>
      <w:r w:rsidR="001A5F61" w:rsidRPr="000F49BB">
        <w:rPr>
          <w:rFonts w:ascii="Century Gothic" w:hAnsi="Century Gothic"/>
          <w:sz w:val="22"/>
          <w:szCs w:val="22"/>
        </w:rPr>
        <w:t xml:space="preserve">Como ainda pouco se sabe a respeito de </w:t>
      </w:r>
      <w:proofErr w:type="spellStart"/>
      <w:r w:rsidR="001A5F61" w:rsidRPr="000F49BB">
        <w:rPr>
          <w:rFonts w:ascii="Century Gothic" w:hAnsi="Century Gothic"/>
          <w:i/>
          <w:sz w:val="22"/>
          <w:szCs w:val="22"/>
        </w:rPr>
        <w:t>Ceraeochrysa</w:t>
      </w:r>
      <w:proofErr w:type="spellEnd"/>
      <w:r w:rsidR="001A5F61" w:rsidRPr="000F49BB">
        <w:rPr>
          <w:rFonts w:ascii="Century Gothic" w:hAnsi="Century Gothic"/>
          <w:i/>
          <w:sz w:val="22"/>
          <w:szCs w:val="22"/>
        </w:rPr>
        <w:t xml:space="preserve"> </w:t>
      </w:r>
      <w:proofErr w:type="spellStart"/>
      <w:r w:rsidR="001A5F61" w:rsidRPr="000F49BB">
        <w:rPr>
          <w:rFonts w:ascii="Century Gothic" w:hAnsi="Century Gothic"/>
          <w:i/>
          <w:sz w:val="22"/>
          <w:szCs w:val="22"/>
        </w:rPr>
        <w:t>paraguaria</w:t>
      </w:r>
      <w:proofErr w:type="spellEnd"/>
      <w:r w:rsidR="001A5F61" w:rsidRPr="000F49BB">
        <w:rPr>
          <w:rFonts w:ascii="Century Gothic" w:hAnsi="Century Gothic"/>
          <w:sz w:val="22"/>
          <w:szCs w:val="22"/>
        </w:rPr>
        <w:t xml:space="preserve">, mesmo não sendo recente sua descrição, o presente trabalho teve por finalidade estudar aspectos </w:t>
      </w:r>
      <w:proofErr w:type="spellStart"/>
      <w:r w:rsidR="001A5F61" w:rsidRPr="000F49BB">
        <w:rPr>
          <w:rFonts w:ascii="Century Gothic" w:hAnsi="Century Gothic"/>
          <w:sz w:val="22"/>
          <w:szCs w:val="22"/>
        </w:rPr>
        <w:t>morfométricos</w:t>
      </w:r>
      <w:proofErr w:type="spellEnd"/>
      <w:r w:rsidR="001A5F61" w:rsidRPr="000F49BB">
        <w:rPr>
          <w:rFonts w:ascii="Century Gothic" w:hAnsi="Century Gothic"/>
          <w:sz w:val="22"/>
          <w:szCs w:val="22"/>
        </w:rPr>
        <w:t xml:space="preserve"> da espécie, sendo as larvas alimentadas com diferentes presas. Larvas do crisopídeo foram alimentadas com ovos de </w:t>
      </w:r>
      <w:r w:rsidR="001A5F61" w:rsidRPr="000F49BB">
        <w:rPr>
          <w:rFonts w:ascii="Century Gothic" w:hAnsi="Century Gothic"/>
          <w:i/>
          <w:sz w:val="22"/>
          <w:szCs w:val="22"/>
        </w:rPr>
        <w:t>Diatraea saccharalis</w:t>
      </w:r>
      <w:r w:rsidR="001A5F61" w:rsidRPr="000F49BB">
        <w:rPr>
          <w:rFonts w:ascii="Century Gothic" w:hAnsi="Century Gothic"/>
          <w:sz w:val="22"/>
          <w:szCs w:val="22"/>
        </w:rPr>
        <w:t xml:space="preserve">, </w:t>
      </w:r>
      <w:r w:rsidR="001A5F61" w:rsidRPr="000F49BB">
        <w:rPr>
          <w:rFonts w:ascii="Century Gothic" w:hAnsi="Century Gothic"/>
          <w:i/>
          <w:sz w:val="22"/>
          <w:szCs w:val="22"/>
        </w:rPr>
        <w:t xml:space="preserve">Sitotroga cerealella </w:t>
      </w:r>
      <w:r w:rsidR="001A5F61" w:rsidRPr="000F49BB">
        <w:rPr>
          <w:rFonts w:ascii="Century Gothic" w:hAnsi="Century Gothic"/>
          <w:sz w:val="22"/>
          <w:szCs w:val="22"/>
        </w:rPr>
        <w:t xml:space="preserve">e </w:t>
      </w:r>
      <w:r w:rsidR="001A5F61" w:rsidRPr="000F49BB">
        <w:rPr>
          <w:rFonts w:ascii="Century Gothic" w:hAnsi="Century Gothic"/>
          <w:i/>
          <w:sz w:val="22"/>
          <w:szCs w:val="22"/>
        </w:rPr>
        <w:t>Anagasta kuehniella</w:t>
      </w:r>
      <w:r w:rsidR="001A5F61" w:rsidRPr="000F49BB">
        <w:rPr>
          <w:rFonts w:ascii="Century Gothic" w:hAnsi="Century Gothic"/>
          <w:sz w:val="22"/>
          <w:szCs w:val="22"/>
        </w:rPr>
        <w:t xml:space="preserve">, obtendo-se o comprimento das mandíbulas; distância entre o início do primeiro segmento abdominal até a base das mandíbulas; largura da cápsula cefálica; e peso larval. Pelos resultados obtidos verifica-se que a alimentação diferenciada não interfere nos parâmetros morfométricos medidos, ocorrendo apenas uma modificação significativa quanto ao peso do inseto na fase larval, sendo ovos de </w:t>
      </w:r>
      <w:r w:rsidR="001A5F61"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="001A5F61" w:rsidRPr="000F49BB">
        <w:rPr>
          <w:rFonts w:ascii="Century Gothic" w:hAnsi="Century Gothic"/>
          <w:sz w:val="22"/>
          <w:szCs w:val="22"/>
        </w:rPr>
        <w:t xml:space="preserve">o melhor substrato alimentar.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b/>
          <w:bCs/>
          <w:sz w:val="22"/>
          <w:szCs w:val="22"/>
        </w:rPr>
        <w:lastRenderedPageBreak/>
        <w:t xml:space="preserve">Palavras chave: </w:t>
      </w:r>
      <w:r w:rsidRPr="000F49BB">
        <w:rPr>
          <w:rFonts w:ascii="Century Gothic" w:hAnsi="Century Gothic"/>
          <w:sz w:val="22"/>
          <w:szCs w:val="22"/>
        </w:rPr>
        <w:t xml:space="preserve">aspectos morfométricos, aspectos biológicos, </w:t>
      </w:r>
      <w:r w:rsidRPr="000F49BB">
        <w:rPr>
          <w:rFonts w:ascii="Century Gothic" w:hAnsi="Century Gothic"/>
          <w:i/>
          <w:iCs/>
          <w:sz w:val="22"/>
          <w:szCs w:val="22"/>
        </w:rPr>
        <w:t>Ceraeochrysa paraguaria</w:t>
      </w:r>
      <w:r w:rsidRPr="000F49BB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8B7C4A" w:rsidRPr="000F49BB" w:rsidRDefault="008B7C4A" w:rsidP="008B7C4A">
      <w:pPr>
        <w:pStyle w:val="Ttulo2"/>
        <w:jc w:val="both"/>
        <w:rPr>
          <w:rFonts w:ascii="Century Gothic" w:hAnsi="Century Gothic"/>
          <w:sz w:val="22"/>
          <w:szCs w:val="22"/>
          <w:lang w:val="en-US"/>
        </w:rPr>
      </w:pPr>
      <w:r w:rsidRPr="000F49BB">
        <w:rPr>
          <w:rFonts w:ascii="Century Gothic" w:hAnsi="Century Gothic"/>
          <w:sz w:val="22"/>
          <w:szCs w:val="22"/>
          <w:lang w:val="en-US"/>
        </w:rPr>
        <w:t xml:space="preserve">MORPHOMETRICAL ASPECTS OF </w:t>
      </w:r>
      <w:proofErr w:type="spellStart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>Ceraeochrysa</w:t>
      </w:r>
      <w:proofErr w:type="spellEnd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>paraguaria</w:t>
      </w:r>
      <w:proofErr w:type="spellEnd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sz w:val="22"/>
          <w:szCs w:val="22"/>
          <w:lang w:val="en-US"/>
        </w:rPr>
        <w:t>(NAVÁS, 1920) (NEUROPTERA: CHRYSOPIDAE) FEEDING ON DIFFERENT PREYS.</w:t>
      </w:r>
    </w:p>
    <w:p w:rsidR="008B7C4A" w:rsidRPr="000F49BB" w:rsidRDefault="008B7C4A" w:rsidP="008B7C4A">
      <w:pPr>
        <w:pStyle w:val="Ttulo2"/>
        <w:jc w:val="both"/>
        <w:rPr>
          <w:rFonts w:ascii="Century Gothic" w:hAnsi="Century Gothic"/>
          <w:sz w:val="22"/>
          <w:szCs w:val="22"/>
          <w:lang w:val="en-US"/>
        </w:rPr>
      </w:pPr>
      <w:r w:rsidRPr="000F49BB">
        <w:rPr>
          <w:rFonts w:ascii="Century Gothic" w:hAnsi="Century Gothic"/>
          <w:sz w:val="22"/>
          <w:szCs w:val="22"/>
          <w:lang w:val="en-US"/>
        </w:rPr>
        <w:t>ABSTRACT</w:t>
      </w:r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iCs/>
          <w:sz w:val="22"/>
          <w:szCs w:val="22"/>
          <w:lang w:val="en-US"/>
        </w:rPr>
        <w:t xml:space="preserve">- </w:t>
      </w:r>
      <w:proofErr w:type="spellStart"/>
      <w:r w:rsidRPr="000F49BB">
        <w:rPr>
          <w:rFonts w:ascii="Century Gothic" w:hAnsi="Century Gothic"/>
          <w:b w:val="0"/>
          <w:i/>
          <w:iCs/>
          <w:sz w:val="22"/>
          <w:szCs w:val="22"/>
          <w:lang w:val="en-US"/>
        </w:rPr>
        <w:t>Ceraeochrysa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paraguaria</w:t>
      </w:r>
      <w:proofErr w:type="spellEnd"/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 do not have his life history well known, despite his description do not be recent. </w:t>
      </w:r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C.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paraguaria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larvae were feeding on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Diatraea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saccharalis</w:t>
      </w:r>
      <w:proofErr w:type="spellEnd"/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,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Sitotroga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cerealella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e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Anagasta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>kuehniella</w:t>
      </w:r>
      <w:proofErr w:type="spellEnd"/>
      <w:r w:rsidRPr="000F49BB">
        <w:rPr>
          <w:rFonts w:ascii="Century Gothic" w:hAnsi="Century Gothic"/>
          <w:b w:val="0"/>
          <w:i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eggs with the objective to determine  the </w:t>
      </w:r>
      <w:proofErr w:type="spellStart"/>
      <w:r w:rsidRPr="000F49BB">
        <w:rPr>
          <w:rFonts w:ascii="Century Gothic" w:hAnsi="Century Gothic"/>
          <w:b w:val="0"/>
          <w:sz w:val="22"/>
          <w:szCs w:val="22"/>
          <w:lang w:val="en-US"/>
        </w:rPr>
        <w:t>mandibules</w:t>
      </w:r>
      <w:proofErr w:type="spellEnd"/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 length, head capsule length, </w:t>
      </w:r>
      <w:proofErr w:type="spellStart"/>
      <w:r w:rsidRPr="000F49BB">
        <w:rPr>
          <w:rFonts w:ascii="Century Gothic" w:hAnsi="Century Gothic"/>
          <w:b w:val="0"/>
          <w:sz w:val="22"/>
          <w:szCs w:val="22"/>
          <w:lang w:val="en-US"/>
        </w:rPr>
        <w:t>torax</w:t>
      </w:r>
      <w:proofErr w:type="spellEnd"/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 + head length, and larvae weight. By the results it was possible to conclude: to the </w:t>
      </w:r>
      <w:proofErr w:type="spellStart"/>
      <w:r w:rsidRPr="000F49BB">
        <w:rPr>
          <w:rFonts w:ascii="Century Gothic" w:hAnsi="Century Gothic"/>
          <w:b w:val="0"/>
          <w:sz w:val="22"/>
          <w:szCs w:val="22"/>
          <w:lang w:val="en-US"/>
        </w:rPr>
        <w:t>morphometrical</w:t>
      </w:r>
      <w:proofErr w:type="spellEnd"/>
      <w:r w:rsidRPr="000F49BB">
        <w:rPr>
          <w:rFonts w:ascii="Century Gothic" w:hAnsi="Century Gothic"/>
          <w:b w:val="0"/>
          <w:sz w:val="22"/>
          <w:szCs w:val="22"/>
          <w:lang w:val="en-US"/>
        </w:rPr>
        <w:t xml:space="preserve"> parameters, only larvae weight was influenced by the food consumed by the predator.</w:t>
      </w:r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</w:p>
    <w:p w:rsidR="008B7C4A" w:rsidRPr="000F49BB" w:rsidRDefault="008B7C4A" w:rsidP="008B7C4A">
      <w:pPr>
        <w:spacing w:line="480" w:lineRule="auto"/>
        <w:jc w:val="both"/>
        <w:rPr>
          <w:rFonts w:ascii="Century Gothic" w:hAnsi="Century Gothic"/>
          <w:b/>
          <w:bCs/>
          <w:sz w:val="22"/>
          <w:szCs w:val="22"/>
          <w:lang w:val="en-US"/>
        </w:rPr>
      </w:pPr>
    </w:p>
    <w:p w:rsidR="008B7C4A" w:rsidRPr="000F49BB" w:rsidRDefault="008B7C4A" w:rsidP="008B7C4A">
      <w:pPr>
        <w:spacing w:line="480" w:lineRule="auto"/>
        <w:jc w:val="both"/>
        <w:rPr>
          <w:rFonts w:ascii="Century Gothic" w:hAnsi="Century Gothic"/>
          <w:b/>
          <w:sz w:val="22"/>
          <w:szCs w:val="22"/>
          <w:lang w:val="en-US"/>
        </w:rPr>
      </w:pPr>
      <w:r w:rsidRPr="000F49BB">
        <w:rPr>
          <w:rFonts w:ascii="Century Gothic" w:hAnsi="Century Gothic"/>
          <w:b/>
          <w:bCs/>
          <w:sz w:val="22"/>
          <w:szCs w:val="22"/>
          <w:lang w:val="en-US"/>
        </w:rPr>
        <w:t xml:space="preserve">Key words: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morphometrical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aspects, biological aspects, </w:t>
      </w:r>
      <w:proofErr w:type="spellStart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>Ceraeochrysa</w:t>
      </w:r>
      <w:proofErr w:type="spellEnd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i/>
          <w:iCs/>
          <w:sz w:val="22"/>
          <w:szCs w:val="22"/>
          <w:lang w:val="en-US"/>
        </w:rPr>
        <w:t>paraguaria</w:t>
      </w:r>
      <w:proofErr w:type="spellEnd"/>
    </w:p>
    <w:p w:rsidR="008B7C4A" w:rsidRPr="000F49BB" w:rsidRDefault="008B7C4A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  <w:lang w:val="en-US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>INTRODUÇÃO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Segundo </w:t>
      </w:r>
      <w:r w:rsidR="008B7C4A" w:rsidRPr="000F49BB">
        <w:rPr>
          <w:rFonts w:ascii="Century Gothic" w:hAnsi="Century Gothic"/>
          <w:sz w:val="22"/>
          <w:szCs w:val="22"/>
        </w:rPr>
        <w:t xml:space="preserve">Oliveira </w:t>
      </w:r>
      <w:proofErr w:type="gramStart"/>
      <w:r w:rsidR="008B7C4A" w:rsidRPr="000F49BB">
        <w:rPr>
          <w:rFonts w:ascii="Century Gothic" w:hAnsi="Century Gothic"/>
          <w:iCs/>
          <w:sz w:val="22"/>
          <w:szCs w:val="22"/>
        </w:rPr>
        <w:t>et</w:t>
      </w:r>
      <w:proofErr w:type="gramEnd"/>
      <w:r w:rsidR="008B7C4A" w:rsidRPr="000F49BB">
        <w:rPr>
          <w:rFonts w:ascii="Century Gothic" w:hAnsi="Century Gothic"/>
          <w:iCs/>
          <w:sz w:val="22"/>
          <w:szCs w:val="22"/>
        </w:rPr>
        <w:t xml:space="preserve"> al.</w:t>
      </w:r>
      <w:r w:rsidRPr="000F49BB">
        <w:rPr>
          <w:rFonts w:ascii="Century Gothic" w:hAnsi="Century Gothic"/>
          <w:sz w:val="22"/>
          <w:szCs w:val="22"/>
        </w:rPr>
        <w:t xml:space="preserve"> (2001), para a utilização de inimigos naturais em programas de manejo integrado de pragas com o sucesso desejado se faz necessário obter informações mais detalhadas sobre as relações pragas/predadores, pragas/parasitóides ou pragas/patógenos.</w:t>
      </w:r>
    </w:p>
    <w:p w:rsidR="001A5F61" w:rsidRPr="000F49BB" w:rsidRDefault="001A5F61" w:rsidP="002E2656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Os programas de manejo de pragas têm recebido atenção especial, uma vez que abrangem um conjunto de ações que visam particularmente a redução do uso de agrotóxicos na agricultura, o que reflete na melhoria de </w:t>
      </w:r>
      <w:r w:rsidRPr="000F49BB">
        <w:rPr>
          <w:rFonts w:ascii="Century Gothic" w:hAnsi="Century Gothic"/>
          <w:sz w:val="22"/>
          <w:szCs w:val="22"/>
        </w:rPr>
        <w:lastRenderedPageBreak/>
        <w:t>vários aspectos ambientais e na redução dos custos de produção (</w:t>
      </w:r>
      <w:r w:rsidR="008B7C4A" w:rsidRPr="000F49BB">
        <w:rPr>
          <w:rFonts w:ascii="Century Gothic" w:hAnsi="Century Gothic"/>
          <w:sz w:val="22"/>
          <w:szCs w:val="22"/>
        </w:rPr>
        <w:t xml:space="preserve">De </w:t>
      </w:r>
      <w:proofErr w:type="spellStart"/>
      <w:r w:rsidR="008B7C4A" w:rsidRPr="000F49BB">
        <w:rPr>
          <w:rFonts w:ascii="Century Gothic" w:hAnsi="Century Gothic"/>
          <w:sz w:val="22"/>
          <w:szCs w:val="22"/>
        </w:rPr>
        <w:t>Bortoli</w:t>
      </w:r>
      <w:proofErr w:type="spellEnd"/>
      <w:r w:rsidR="008B7C4A" w:rsidRPr="000F49BB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="008B7C4A" w:rsidRPr="000F49BB">
        <w:rPr>
          <w:rFonts w:ascii="Century Gothic" w:hAnsi="Century Gothic"/>
          <w:iCs/>
          <w:sz w:val="22"/>
          <w:szCs w:val="22"/>
        </w:rPr>
        <w:t>et</w:t>
      </w:r>
      <w:proofErr w:type="gramEnd"/>
      <w:r w:rsidR="008B7C4A" w:rsidRPr="000F49BB">
        <w:rPr>
          <w:rFonts w:ascii="Century Gothic" w:hAnsi="Century Gothic"/>
          <w:iCs/>
          <w:sz w:val="22"/>
          <w:szCs w:val="22"/>
        </w:rPr>
        <w:t xml:space="preserve"> al.</w:t>
      </w:r>
      <w:r w:rsidR="008B7C4A" w:rsidRPr="000F49BB">
        <w:rPr>
          <w:rFonts w:ascii="Century Gothic" w:hAnsi="Century Gothic"/>
          <w:sz w:val="22"/>
          <w:szCs w:val="22"/>
        </w:rPr>
        <w:t>,</w:t>
      </w:r>
      <w:r w:rsidRPr="000F49BB">
        <w:rPr>
          <w:rFonts w:ascii="Century Gothic" w:hAnsi="Century Gothic"/>
          <w:sz w:val="22"/>
          <w:szCs w:val="22"/>
        </w:rPr>
        <w:t xml:space="preserve"> 2005), sendo que o uso de crisopídeos nesses programas depende de alguns fatores biológicos que devem ser determinados pela pesquisa, como densidade do predador e da presa, distribuição das presas na área alvo do controle, preferência por presas e espécies de presas alternativas disponíveis (New, 1975), além da influência de fatores bióticos e abióticos, como a temperatura, por exemplo, como relatado por </w:t>
      </w:r>
      <w:r w:rsidR="00DE5E66" w:rsidRPr="000F49BB">
        <w:rPr>
          <w:rFonts w:ascii="Century Gothic" w:hAnsi="Century Gothic"/>
          <w:sz w:val="22"/>
          <w:szCs w:val="22"/>
        </w:rPr>
        <w:t xml:space="preserve">Pessoa </w:t>
      </w:r>
      <w:r w:rsidR="00DE5E66" w:rsidRPr="000F49BB">
        <w:rPr>
          <w:rFonts w:ascii="Century Gothic" w:hAnsi="Century Gothic"/>
          <w:iCs/>
          <w:sz w:val="22"/>
          <w:szCs w:val="22"/>
        </w:rPr>
        <w:t>et al.</w:t>
      </w:r>
      <w:r w:rsidRPr="000F49BB">
        <w:rPr>
          <w:rFonts w:ascii="Century Gothic" w:hAnsi="Century Gothic"/>
          <w:sz w:val="22"/>
          <w:szCs w:val="22"/>
        </w:rPr>
        <w:t xml:space="preserve"> (2004) para </w:t>
      </w:r>
      <w:r w:rsidRPr="000F49BB">
        <w:rPr>
          <w:rFonts w:ascii="Century Gothic" w:hAnsi="Century Gothic"/>
          <w:i/>
          <w:sz w:val="22"/>
          <w:szCs w:val="22"/>
        </w:rPr>
        <w:t>C. paraguaria</w:t>
      </w:r>
      <w:r w:rsidRPr="000F49BB">
        <w:rPr>
          <w:rFonts w:ascii="Century Gothic" w:hAnsi="Century Gothic"/>
          <w:sz w:val="22"/>
          <w:szCs w:val="22"/>
        </w:rPr>
        <w:t>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De acordo com Brooks &amp; </w:t>
      </w:r>
      <w:proofErr w:type="spellStart"/>
      <w:r w:rsidRPr="000F49BB">
        <w:rPr>
          <w:rFonts w:ascii="Century Gothic" w:hAnsi="Century Gothic"/>
          <w:sz w:val="22"/>
          <w:szCs w:val="22"/>
        </w:rPr>
        <w:t>Barnard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(1990), os </w:t>
      </w:r>
      <w:proofErr w:type="spellStart"/>
      <w:r w:rsidRPr="000F49BB">
        <w:rPr>
          <w:rFonts w:ascii="Century Gothic" w:hAnsi="Century Gothic"/>
          <w:sz w:val="22"/>
          <w:szCs w:val="22"/>
        </w:rPr>
        <w:t>crisopídeos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constituem a segunda maior família dentre os neurópteros, com aproximadamente 2000 espécies, sendo seus exemplares importantes predadores polífagos e generalistas, compondo importante papel no controle biológico de </w:t>
      </w:r>
      <w:proofErr w:type="spellStart"/>
      <w:r w:rsidRPr="000F49BB">
        <w:rPr>
          <w:rFonts w:ascii="Century Gothic" w:hAnsi="Century Gothic"/>
          <w:sz w:val="22"/>
          <w:szCs w:val="22"/>
        </w:rPr>
        <w:t>artrópodos</w:t>
      </w:r>
      <w:proofErr w:type="spellEnd"/>
      <w:r w:rsidRPr="000F49BB">
        <w:rPr>
          <w:rFonts w:ascii="Century Gothic" w:hAnsi="Century Gothic"/>
          <w:sz w:val="22"/>
          <w:szCs w:val="22"/>
        </w:rPr>
        <w:t>-praga (</w:t>
      </w:r>
      <w:proofErr w:type="spellStart"/>
      <w:r w:rsidRPr="000F49BB">
        <w:rPr>
          <w:rFonts w:ascii="Century Gothic" w:hAnsi="Century Gothic"/>
          <w:sz w:val="22"/>
          <w:szCs w:val="22"/>
        </w:rPr>
        <w:t>Tauber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, 1974; Adams &amp; </w:t>
      </w:r>
      <w:proofErr w:type="spellStart"/>
      <w:r w:rsidRPr="000F49BB">
        <w:rPr>
          <w:rFonts w:ascii="Century Gothic" w:hAnsi="Century Gothic"/>
          <w:sz w:val="22"/>
          <w:szCs w:val="22"/>
        </w:rPr>
        <w:t>Penny</w:t>
      </w:r>
      <w:proofErr w:type="spellEnd"/>
      <w:r w:rsidRPr="000F49BB">
        <w:rPr>
          <w:rFonts w:ascii="Century Gothic" w:hAnsi="Century Gothic"/>
          <w:sz w:val="22"/>
          <w:szCs w:val="22"/>
        </w:rPr>
        <w:t>, 1985; Freitas, 2001a). Em geral esses insetos encontram condições de adaptabilidade a diferentes ambientes, o que lhes permite ampla distribuição geográfica (</w:t>
      </w:r>
      <w:proofErr w:type="spellStart"/>
      <w:r w:rsidRPr="000F49BB">
        <w:rPr>
          <w:rFonts w:ascii="Century Gothic" w:hAnsi="Century Gothic"/>
          <w:sz w:val="22"/>
          <w:szCs w:val="22"/>
        </w:rPr>
        <w:t>Gitirana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Neto </w:t>
      </w:r>
      <w:proofErr w:type="gramStart"/>
      <w:r w:rsidRPr="000F49BB">
        <w:rPr>
          <w:rFonts w:ascii="Century Gothic" w:hAnsi="Century Gothic"/>
          <w:iCs/>
          <w:sz w:val="22"/>
          <w:szCs w:val="22"/>
        </w:rPr>
        <w:t>et</w:t>
      </w:r>
      <w:proofErr w:type="gramEnd"/>
      <w:r w:rsidRPr="000F49BB">
        <w:rPr>
          <w:rFonts w:ascii="Century Gothic" w:hAnsi="Century Gothic"/>
          <w:iCs/>
          <w:sz w:val="22"/>
          <w:szCs w:val="22"/>
        </w:rPr>
        <w:t xml:space="preserve"> al.</w:t>
      </w:r>
      <w:r w:rsidRPr="000F49BB">
        <w:rPr>
          <w:rFonts w:ascii="Century Gothic" w:hAnsi="Century Gothic"/>
          <w:sz w:val="22"/>
          <w:szCs w:val="22"/>
        </w:rPr>
        <w:t>, 2001).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Alguns estudos visando o emprego desses predadores em programas de manejo integrado de pragas foram, e continuam sendo, desenvolvidos no Brasil, sendo eles, porém, relativamente recentes. Nesse sentido, Carvalho &amp; Souza (2000) citam a utilização de crisopídeos no controle de </w:t>
      </w:r>
      <w:r w:rsidRPr="000F49BB">
        <w:rPr>
          <w:rFonts w:ascii="Century Gothic" w:hAnsi="Century Gothic"/>
          <w:i/>
          <w:sz w:val="22"/>
          <w:szCs w:val="22"/>
        </w:rPr>
        <w:t>Alabama argillacea</w:t>
      </w:r>
      <w:r w:rsidRPr="000F49BB">
        <w:rPr>
          <w:rFonts w:ascii="Century Gothic" w:hAnsi="Century Gothic"/>
          <w:sz w:val="22"/>
          <w:szCs w:val="22"/>
        </w:rPr>
        <w:t xml:space="preserve"> (Hübner) (Lep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Noctuidae); dos pulgões </w:t>
      </w:r>
      <w:r w:rsidRPr="000F49BB">
        <w:rPr>
          <w:rFonts w:ascii="Century Gothic" w:hAnsi="Century Gothic"/>
          <w:i/>
          <w:sz w:val="22"/>
          <w:szCs w:val="22"/>
        </w:rPr>
        <w:t xml:space="preserve">Aphis gossypii </w:t>
      </w:r>
      <w:r w:rsidRPr="000F49BB">
        <w:rPr>
          <w:rFonts w:ascii="Century Gothic" w:hAnsi="Century Gothic"/>
          <w:sz w:val="22"/>
          <w:szCs w:val="22"/>
        </w:rPr>
        <w:t xml:space="preserve">Glover, </w:t>
      </w:r>
      <w:r w:rsidRPr="000F49BB">
        <w:rPr>
          <w:rFonts w:ascii="Century Gothic" w:hAnsi="Century Gothic"/>
          <w:i/>
          <w:sz w:val="22"/>
          <w:szCs w:val="22"/>
        </w:rPr>
        <w:t xml:space="preserve">Schizaphis graminum </w:t>
      </w:r>
      <w:r w:rsidRPr="000F49BB">
        <w:rPr>
          <w:rFonts w:ascii="Century Gothic" w:hAnsi="Century Gothic"/>
          <w:sz w:val="22"/>
          <w:szCs w:val="22"/>
        </w:rPr>
        <w:t xml:space="preserve">(Rondani) e </w:t>
      </w:r>
      <w:r w:rsidRPr="000F49BB">
        <w:rPr>
          <w:rFonts w:ascii="Century Gothic" w:hAnsi="Century Gothic"/>
          <w:i/>
          <w:sz w:val="22"/>
          <w:szCs w:val="22"/>
        </w:rPr>
        <w:t>Rhodobium porosum</w:t>
      </w:r>
      <w:r w:rsidRPr="000F49BB">
        <w:rPr>
          <w:rFonts w:ascii="Century Gothic" w:hAnsi="Century Gothic"/>
          <w:sz w:val="22"/>
          <w:szCs w:val="22"/>
        </w:rPr>
        <w:t xml:space="preserve"> (Sanderson) (Hem., Aphididae); das cochonilhas </w:t>
      </w:r>
      <w:r w:rsidRPr="000F49BB">
        <w:rPr>
          <w:rFonts w:ascii="Century Gothic" w:hAnsi="Century Gothic"/>
          <w:i/>
          <w:sz w:val="22"/>
          <w:szCs w:val="22"/>
        </w:rPr>
        <w:t xml:space="preserve">Coccus </w:t>
      </w:r>
      <w:r w:rsidRPr="000F49BB">
        <w:rPr>
          <w:rFonts w:ascii="Century Gothic" w:hAnsi="Century Gothic"/>
          <w:sz w:val="22"/>
          <w:szCs w:val="22"/>
        </w:rPr>
        <w:t>sp. (Hem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Coccidae), </w:t>
      </w:r>
      <w:r w:rsidRPr="000F49BB">
        <w:rPr>
          <w:rFonts w:ascii="Century Gothic" w:hAnsi="Century Gothic"/>
          <w:i/>
          <w:sz w:val="22"/>
          <w:szCs w:val="22"/>
        </w:rPr>
        <w:t xml:space="preserve">Orthezia </w:t>
      </w:r>
      <w:r w:rsidRPr="000F49BB">
        <w:rPr>
          <w:rFonts w:ascii="Century Gothic" w:hAnsi="Century Gothic"/>
          <w:sz w:val="22"/>
          <w:szCs w:val="22"/>
        </w:rPr>
        <w:t>sp. (Hem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Ortheziidae), </w:t>
      </w:r>
      <w:r w:rsidRPr="000F49BB">
        <w:rPr>
          <w:rFonts w:ascii="Century Gothic" w:hAnsi="Century Gothic"/>
          <w:i/>
          <w:sz w:val="22"/>
          <w:szCs w:val="22"/>
        </w:rPr>
        <w:t xml:space="preserve">Pinnaspis </w:t>
      </w:r>
      <w:r w:rsidRPr="000F49BB">
        <w:rPr>
          <w:rFonts w:ascii="Century Gothic" w:hAnsi="Century Gothic"/>
          <w:sz w:val="22"/>
          <w:szCs w:val="22"/>
        </w:rPr>
        <w:t xml:space="preserve">sp. </w:t>
      </w:r>
      <w:proofErr w:type="gramStart"/>
      <w:r w:rsidRPr="000F49BB">
        <w:rPr>
          <w:rFonts w:ascii="Century Gothic" w:hAnsi="Century Gothic"/>
          <w:sz w:val="22"/>
          <w:szCs w:val="22"/>
        </w:rPr>
        <w:t>e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</w:t>
      </w:r>
      <w:r w:rsidRPr="000F49BB">
        <w:rPr>
          <w:rFonts w:ascii="Century Gothic" w:hAnsi="Century Gothic"/>
          <w:i/>
          <w:sz w:val="22"/>
          <w:szCs w:val="22"/>
        </w:rPr>
        <w:t xml:space="preserve">Selenaspidus </w:t>
      </w:r>
      <w:r w:rsidRPr="000F49BB">
        <w:rPr>
          <w:rFonts w:ascii="Century Gothic" w:hAnsi="Century Gothic"/>
          <w:sz w:val="22"/>
          <w:szCs w:val="22"/>
        </w:rPr>
        <w:t>sp. (Hem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Diaspididae); e do percevejo-de-renda da seringueira </w:t>
      </w:r>
      <w:r w:rsidRPr="000F49BB">
        <w:rPr>
          <w:rFonts w:ascii="Century Gothic" w:hAnsi="Century Gothic"/>
          <w:i/>
          <w:sz w:val="22"/>
          <w:szCs w:val="22"/>
        </w:rPr>
        <w:t xml:space="preserve">Leptopharsa heveae </w:t>
      </w:r>
      <w:r w:rsidRPr="000F49BB">
        <w:rPr>
          <w:rFonts w:ascii="Century Gothic" w:hAnsi="Century Gothic"/>
          <w:sz w:val="22"/>
          <w:szCs w:val="22"/>
        </w:rPr>
        <w:t xml:space="preserve">Drake &amp; Poor (Hem., Tingidae).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lastRenderedPageBreak/>
        <w:tab/>
        <w:t xml:space="preserve">Dos gêneros da família Chrysopidae, </w:t>
      </w:r>
      <w:r w:rsidRPr="000F49BB">
        <w:rPr>
          <w:rFonts w:ascii="Century Gothic" w:hAnsi="Century Gothic"/>
          <w:i/>
          <w:sz w:val="22"/>
          <w:szCs w:val="22"/>
        </w:rPr>
        <w:t xml:space="preserve">Ceraeochrysa </w:t>
      </w:r>
      <w:r w:rsidRPr="000F49BB">
        <w:rPr>
          <w:rFonts w:ascii="Century Gothic" w:hAnsi="Century Gothic"/>
          <w:sz w:val="22"/>
          <w:szCs w:val="22"/>
        </w:rPr>
        <w:t xml:space="preserve">Adams apresenta várias espécies com grande potencial de utilização no controle biológico de pragas, encontrando-se entre elas </w:t>
      </w:r>
      <w:r w:rsidRPr="000F49BB">
        <w:rPr>
          <w:rFonts w:ascii="Century Gothic" w:hAnsi="Century Gothic"/>
          <w:i/>
          <w:sz w:val="22"/>
          <w:szCs w:val="22"/>
        </w:rPr>
        <w:t xml:space="preserve">Ceraeochrysa paraguaria </w:t>
      </w:r>
      <w:r w:rsidRPr="000F49BB">
        <w:rPr>
          <w:rFonts w:ascii="Century Gothic" w:hAnsi="Century Gothic"/>
          <w:sz w:val="22"/>
          <w:szCs w:val="22"/>
        </w:rPr>
        <w:t>(Navás, 1920) que, segundo Freitas (2001b), é encontrada em culturas de citros e de goiaba, apresentando potencial para controle de pragas associadas a esses cultivos.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Como ainda pouco se sabe a respeito de </w:t>
      </w:r>
      <w:r w:rsidRPr="000F49BB">
        <w:rPr>
          <w:rFonts w:ascii="Century Gothic" w:hAnsi="Century Gothic"/>
          <w:i/>
          <w:sz w:val="22"/>
          <w:szCs w:val="22"/>
        </w:rPr>
        <w:t>C. paraguaria</w:t>
      </w:r>
      <w:r w:rsidRPr="000F49BB">
        <w:rPr>
          <w:rFonts w:ascii="Century Gothic" w:hAnsi="Century Gothic"/>
          <w:sz w:val="22"/>
          <w:szCs w:val="22"/>
        </w:rPr>
        <w:t xml:space="preserve">, mesmo não sendo recente sua descrição, o presente trabalho teve por finalidade estudar aspectos </w:t>
      </w:r>
      <w:proofErr w:type="spellStart"/>
      <w:r w:rsidRPr="000F49BB">
        <w:rPr>
          <w:rFonts w:ascii="Century Gothic" w:hAnsi="Century Gothic"/>
          <w:sz w:val="22"/>
          <w:szCs w:val="22"/>
        </w:rPr>
        <w:t>morfométricos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da espécie, sendo as larvas alimentadas com diferentes presas.</w:t>
      </w:r>
    </w:p>
    <w:p w:rsidR="00DE5E66" w:rsidRPr="000F49BB" w:rsidRDefault="00DE5E66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>MATERIAL E MÉTODOS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>O experimento foi conduzido no Laboratório de Biologia e Criação de Insetos do Departamento de Fitossanidade, FCAV-UNESP, Jaboticabal, SP, em condições controladas de temperatura (25 ± 2 ºC), umidade relativa (75 ± 10%) e fotoperíodo (</w:t>
      </w:r>
      <w:proofErr w:type="gramStart"/>
      <w:r w:rsidRPr="000F49BB">
        <w:rPr>
          <w:rFonts w:ascii="Century Gothic" w:hAnsi="Century Gothic"/>
          <w:sz w:val="22"/>
          <w:szCs w:val="22"/>
        </w:rPr>
        <w:t>14L: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10E). Os ovos de </w:t>
      </w:r>
      <w:r w:rsidRPr="000F49BB">
        <w:rPr>
          <w:rFonts w:ascii="Century Gothic" w:hAnsi="Century Gothic"/>
          <w:i/>
          <w:sz w:val="22"/>
          <w:szCs w:val="22"/>
        </w:rPr>
        <w:t xml:space="preserve">Sitotroga cerealella </w:t>
      </w:r>
      <w:r w:rsidRPr="000F49BB">
        <w:rPr>
          <w:rFonts w:ascii="Century Gothic" w:hAnsi="Century Gothic"/>
          <w:sz w:val="22"/>
          <w:szCs w:val="22"/>
        </w:rPr>
        <w:t>(Oliver, 1819) (Lep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Gelechiidae), </w:t>
      </w:r>
      <w:r w:rsidRPr="000F49BB">
        <w:rPr>
          <w:rFonts w:ascii="Century Gothic" w:hAnsi="Century Gothic"/>
          <w:i/>
          <w:sz w:val="22"/>
          <w:szCs w:val="22"/>
        </w:rPr>
        <w:t xml:space="preserve">Diatraea saccharalis </w:t>
      </w:r>
      <w:r w:rsidRPr="000F49BB">
        <w:rPr>
          <w:rFonts w:ascii="Century Gothic" w:hAnsi="Century Gothic"/>
          <w:sz w:val="22"/>
          <w:szCs w:val="22"/>
        </w:rPr>
        <w:t xml:space="preserve">(Fabricius, 1794) (Lep., Pyralidae) e </w:t>
      </w:r>
      <w:r w:rsidRPr="000F49BB">
        <w:rPr>
          <w:rFonts w:ascii="Century Gothic" w:hAnsi="Century Gothic"/>
          <w:i/>
          <w:sz w:val="22"/>
          <w:szCs w:val="22"/>
        </w:rPr>
        <w:t xml:space="preserve">Anagasta kuehniella </w:t>
      </w:r>
      <w:r w:rsidRPr="000F49BB">
        <w:rPr>
          <w:rFonts w:ascii="Century Gothic" w:hAnsi="Century Gothic"/>
          <w:sz w:val="22"/>
          <w:szCs w:val="22"/>
        </w:rPr>
        <w:t xml:space="preserve">(Zeller, 1879) (Lep., Pyralidae), utilizados como alimento para as larvas nas avaliações morfométricas, foram obtidos nas criações existentes no referido laboratório.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Para cada um dos substratos (ovos de </w:t>
      </w:r>
      <w:r w:rsidRPr="000F49BB">
        <w:rPr>
          <w:rFonts w:ascii="Century Gothic" w:hAnsi="Century Gothic"/>
          <w:i/>
          <w:sz w:val="22"/>
          <w:szCs w:val="22"/>
        </w:rPr>
        <w:t>S. cerealella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 xml:space="preserve">e </w:t>
      </w:r>
      <w:r w:rsidRPr="000F49BB">
        <w:rPr>
          <w:rFonts w:ascii="Century Gothic" w:hAnsi="Century Gothic"/>
          <w:i/>
          <w:sz w:val="22"/>
          <w:szCs w:val="22"/>
        </w:rPr>
        <w:t>A. kuehniella</w:t>
      </w:r>
      <w:r w:rsidRPr="000F49BB">
        <w:rPr>
          <w:rFonts w:ascii="Century Gothic" w:hAnsi="Century Gothic"/>
          <w:sz w:val="22"/>
          <w:szCs w:val="22"/>
        </w:rPr>
        <w:t xml:space="preserve">), nas determinações morfométricas, foram individualizadas em placas de Petri de </w:t>
      </w:r>
      <w:smartTag w:uri="urn:schemas-microsoft-com:office:smarttags" w:element="metricconverter">
        <w:smartTagPr>
          <w:attr w:name="ProductID" w:val="10 cm"/>
        </w:smartTagPr>
        <w:r w:rsidRPr="000F49BB">
          <w:rPr>
            <w:rFonts w:ascii="Century Gothic" w:hAnsi="Century Gothic"/>
            <w:sz w:val="22"/>
            <w:szCs w:val="22"/>
          </w:rPr>
          <w:t>10 cm</w:t>
        </w:r>
      </w:smartTag>
      <w:r w:rsidRPr="000F49BB">
        <w:rPr>
          <w:rFonts w:ascii="Century Gothic" w:hAnsi="Century Gothic"/>
          <w:sz w:val="22"/>
          <w:szCs w:val="22"/>
        </w:rPr>
        <w:t xml:space="preserve"> de diâmetro 30 (trinta) larvas de </w:t>
      </w:r>
      <w:r w:rsidRPr="000F49BB">
        <w:rPr>
          <w:rFonts w:ascii="Century Gothic" w:hAnsi="Century Gothic"/>
          <w:i/>
          <w:sz w:val="22"/>
          <w:szCs w:val="22"/>
        </w:rPr>
        <w:t xml:space="preserve">C. </w:t>
      </w:r>
      <w:proofErr w:type="spellStart"/>
      <w:r w:rsidRPr="000F49BB">
        <w:rPr>
          <w:rFonts w:ascii="Century Gothic" w:hAnsi="Century Gothic"/>
          <w:i/>
          <w:sz w:val="22"/>
          <w:szCs w:val="22"/>
        </w:rPr>
        <w:t>paraguaria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recém</w:t>
      </w:r>
      <w:r w:rsidR="00B76F0F" w:rsidRPr="000F49BB">
        <w:rPr>
          <w:rFonts w:ascii="Century Gothic" w:hAnsi="Century Gothic"/>
          <w:sz w:val="22"/>
          <w:szCs w:val="22"/>
        </w:rPr>
        <w:t>-</w:t>
      </w:r>
      <w:r w:rsidRPr="000F49BB">
        <w:rPr>
          <w:rFonts w:ascii="Century Gothic" w:hAnsi="Century Gothic"/>
          <w:sz w:val="22"/>
          <w:szCs w:val="22"/>
        </w:rPr>
        <w:t>emergidas</w:t>
      </w:r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 xml:space="preserve">oriundas da criação de manutenção do laboratório. Acompanhando-se o desenvolvimento desses insetos foram obtidos os seguintes </w:t>
      </w:r>
      <w:r w:rsidRPr="000F49BB">
        <w:rPr>
          <w:rFonts w:ascii="Century Gothic" w:hAnsi="Century Gothic"/>
          <w:sz w:val="22"/>
          <w:szCs w:val="22"/>
        </w:rPr>
        <w:lastRenderedPageBreak/>
        <w:t>parâmetros: comprimento das mandíbulas, medido da base ao ponto de convergência das mesmas; comprimento da cápsula cefálica, medido da inserção com o tórax até à base das mandíbulas; distância entre o início do primeiro segmento abdominal até a base das mandíbulas; largura da cápsula cefálica, medida pela distância entre os olhos; e peso larval.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>Os dados obtidos foram transformados em (x + 0,5)</w:t>
      </w:r>
      <w:r w:rsidRPr="000F49BB">
        <w:rPr>
          <w:rFonts w:ascii="Century Gothic" w:hAnsi="Century Gothic"/>
          <w:sz w:val="22"/>
          <w:szCs w:val="22"/>
          <w:vertAlign w:val="superscript"/>
        </w:rPr>
        <w:t>½</w:t>
      </w:r>
      <w:r w:rsidRPr="000F49BB">
        <w:rPr>
          <w:rFonts w:ascii="Century Gothic" w:hAnsi="Century Gothic"/>
          <w:sz w:val="22"/>
          <w:szCs w:val="22"/>
        </w:rPr>
        <w:t>, sendo a eles aplicada análise de variância pelo teste F e as médias comparadas pelo teste de Tukey ao nível de 5% de probabilidade.</w:t>
      </w:r>
    </w:p>
    <w:p w:rsidR="009D75BC" w:rsidRPr="000F49BB" w:rsidRDefault="009D75BC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>RESULTADOS E DISCUSSÃO</w:t>
      </w:r>
    </w:p>
    <w:p w:rsidR="001A5F61" w:rsidRPr="000F49BB" w:rsidRDefault="001A5F61" w:rsidP="0023144A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O comprimento médio das mandíbulas de larvas de </w:t>
      </w:r>
      <w:r w:rsidRPr="000F49BB">
        <w:rPr>
          <w:rFonts w:ascii="Century Gothic" w:hAnsi="Century Gothic"/>
          <w:i/>
          <w:sz w:val="22"/>
          <w:szCs w:val="22"/>
        </w:rPr>
        <w:t xml:space="preserve">C. paraguaria </w:t>
      </w:r>
      <w:r w:rsidRPr="000F49BB">
        <w:rPr>
          <w:rFonts w:ascii="Century Gothic" w:hAnsi="Century Gothic"/>
          <w:sz w:val="22"/>
          <w:szCs w:val="22"/>
        </w:rPr>
        <w:t xml:space="preserve">alimentadas com ovos de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 xml:space="preserve">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 xml:space="preserve">foi menor, para os três ínstares, quando o crisopídeo foi alimentado com ovos de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 xml:space="preserve"> (0,345; 0,527 e </w:t>
      </w:r>
      <w:smartTag w:uri="urn:schemas-microsoft-com:office:smarttags" w:element="metricconverter">
        <w:smartTagPr>
          <w:attr w:name="ProductID" w:val="0,643 mm"/>
        </w:smartTagPr>
        <w:r w:rsidRPr="000F49BB">
          <w:rPr>
            <w:rFonts w:ascii="Century Gothic" w:hAnsi="Century Gothic"/>
            <w:sz w:val="22"/>
            <w:szCs w:val="22"/>
          </w:rPr>
          <w:t>0,643 mm</w:t>
        </w:r>
      </w:smartTag>
      <w:r w:rsidRPr="000F49BB">
        <w:rPr>
          <w:rFonts w:ascii="Century Gothic" w:hAnsi="Century Gothic"/>
          <w:sz w:val="22"/>
          <w:szCs w:val="22"/>
        </w:rPr>
        <w:t xml:space="preserve">), sendo os maiores valores encontrados para </w:t>
      </w:r>
      <w:r w:rsidRPr="000F49BB">
        <w:rPr>
          <w:rFonts w:ascii="Century Gothic" w:hAnsi="Century Gothic"/>
          <w:i/>
          <w:sz w:val="22"/>
          <w:szCs w:val="22"/>
        </w:rPr>
        <w:t>S. cerealella</w:t>
      </w:r>
      <w:r w:rsidRPr="000F49BB">
        <w:rPr>
          <w:rFonts w:ascii="Century Gothic" w:hAnsi="Century Gothic"/>
          <w:sz w:val="22"/>
          <w:szCs w:val="22"/>
        </w:rPr>
        <w:t xml:space="preserve"> (0,373; 0,533 e </w:t>
      </w:r>
      <w:smartTag w:uri="urn:schemas-microsoft-com:office:smarttags" w:element="metricconverter">
        <w:smartTagPr>
          <w:attr w:name="ProductID" w:val="0,710 mm"/>
        </w:smartTagPr>
        <w:r w:rsidRPr="000F49BB">
          <w:rPr>
            <w:rFonts w:ascii="Century Gothic" w:hAnsi="Century Gothic"/>
            <w:sz w:val="22"/>
            <w:szCs w:val="22"/>
          </w:rPr>
          <w:t>0,710 mm</w:t>
        </w:r>
      </w:smartTag>
      <w:r w:rsidRPr="000F49BB">
        <w:rPr>
          <w:rFonts w:ascii="Century Gothic" w:hAnsi="Century Gothic"/>
          <w:sz w:val="22"/>
          <w:szCs w:val="22"/>
        </w:rPr>
        <w:t xml:space="preserve">). Quando as larvas do predador receberam ovos de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 xml:space="preserve">como alimento, no 1º ínstar, o desenvolvimento se mostrou semelhante à </w:t>
      </w:r>
      <w:r w:rsidRPr="000F49BB">
        <w:rPr>
          <w:rFonts w:ascii="Century Gothic" w:hAnsi="Century Gothic"/>
          <w:i/>
          <w:sz w:val="22"/>
          <w:szCs w:val="22"/>
        </w:rPr>
        <w:t>S. cerealella</w:t>
      </w:r>
      <w:r w:rsidRPr="000F49BB">
        <w:rPr>
          <w:rFonts w:ascii="Century Gothic" w:hAnsi="Century Gothic"/>
          <w:sz w:val="22"/>
          <w:szCs w:val="22"/>
        </w:rPr>
        <w:t xml:space="preserve">, com mandíbulas também de tamanho semelhante ao obtido para larvas que ingeriram ovos de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 xml:space="preserve">, tendo o crescimento aumentado no 2º e 3º ínstares para as larvas alimentadas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 xml:space="preserve">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 xml:space="preserve">, a ponto de se igualar aos indivíduos alimentados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 xml:space="preserve">(Tabela 1). </w:t>
      </w:r>
    </w:p>
    <w:p w:rsidR="001A5F61" w:rsidRPr="000F49BB" w:rsidRDefault="001A5F61" w:rsidP="002E2656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As larvas de </w:t>
      </w:r>
      <w:r w:rsidRPr="000F49BB">
        <w:rPr>
          <w:rFonts w:ascii="Century Gothic" w:hAnsi="Century Gothic"/>
          <w:i/>
          <w:sz w:val="22"/>
          <w:szCs w:val="22"/>
        </w:rPr>
        <w:t>C. paraguaria</w:t>
      </w:r>
      <w:r w:rsidRPr="000F49BB">
        <w:rPr>
          <w:rFonts w:ascii="Century Gothic" w:hAnsi="Century Gothic"/>
          <w:sz w:val="22"/>
          <w:szCs w:val="22"/>
        </w:rPr>
        <w:t>, nos três ínstares, não mostraram diferenças significativas entre si quanto ao comprimento da cabeça, em relação aos substratos alimentares utilizados, conforme mostra a Tabela 2.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lastRenderedPageBreak/>
        <w:tab/>
        <w:t>A distância medida desde o primeiro segmento abdominal até a base das mandíbulas (tórax + cabeça) foi maior (</w:t>
      </w:r>
      <w:smartTag w:uri="urn:schemas-microsoft-com:office:smarttags" w:element="metricconverter">
        <w:smartTagPr>
          <w:attr w:name="ProductID" w:val="0,539 mm"/>
        </w:smartTagPr>
        <w:r w:rsidRPr="000F49BB">
          <w:rPr>
            <w:rFonts w:ascii="Century Gothic" w:hAnsi="Century Gothic"/>
            <w:sz w:val="22"/>
            <w:szCs w:val="22"/>
          </w:rPr>
          <w:t>0,539 mm</w:t>
        </w:r>
      </w:smartTag>
      <w:r w:rsidRPr="000F49BB">
        <w:rPr>
          <w:rFonts w:ascii="Century Gothic" w:hAnsi="Century Gothic"/>
          <w:sz w:val="22"/>
          <w:szCs w:val="22"/>
        </w:rPr>
        <w:t xml:space="preserve">) nas larvas alimentadas com ovos de </w:t>
      </w:r>
      <w:r w:rsidRPr="000F49BB">
        <w:rPr>
          <w:rFonts w:ascii="Century Gothic" w:hAnsi="Century Gothic"/>
          <w:i/>
          <w:sz w:val="22"/>
          <w:szCs w:val="22"/>
        </w:rPr>
        <w:t>A. kuehniella</w:t>
      </w:r>
      <w:r w:rsidRPr="000F49BB">
        <w:rPr>
          <w:rFonts w:ascii="Century Gothic" w:hAnsi="Century Gothic"/>
          <w:sz w:val="22"/>
          <w:szCs w:val="22"/>
        </w:rPr>
        <w:t xml:space="preserve">, no 1º ínstar, seguido, respectivamente, por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473 mm"/>
        </w:smartTagPr>
        <w:r w:rsidRPr="000F49BB">
          <w:rPr>
            <w:rFonts w:ascii="Century Gothic" w:hAnsi="Century Gothic"/>
            <w:sz w:val="22"/>
            <w:szCs w:val="22"/>
          </w:rPr>
          <w:t>0,473 mm</w:t>
        </w:r>
      </w:smartTag>
      <w:r w:rsidRPr="000F49BB">
        <w:rPr>
          <w:rFonts w:ascii="Century Gothic" w:hAnsi="Century Gothic"/>
          <w:sz w:val="22"/>
          <w:szCs w:val="22"/>
        </w:rPr>
        <w:t>)</w:t>
      </w:r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 xml:space="preserve">e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392 mm"/>
        </w:smartTagPr>
        <w:r w:rsidRPr="000F49BB">
          <w:rPr>
            <w:rFonts w:ascii="Century Gothic" w:hAnsi="Century Gothic"/>
            <w:sz w:val="22"/>
            <w:szCs w:val="22"/>
          </w:rPr>
          <w:t>0,392 mm</w:t>
        </w:r>
      </w:smartTag>
      <w:r w:rsidRPr="000F49BB">
        <w:rPr>
          <w:rFonts w:ascii="Century Gothic" w:hAnsi="Century Gothic"/>
          <w:sz w:val="22"/>
          <w:szCs w:val="22"/>
        </w:rPr>
        <w:t xml:space="preserve">), que foram estatisticamente diferentes entre si e de </w:t>
      </w:r>
      <w:r w:rsidRPr="000F49BB">
        <w:rPr>
          <w:rFonts w:ascii="Century Gothic" w:hAnsi="Century Gothic"/>
          <w:i/>
          <w:sz w:val="22"/>
          <w:szCs w:val="22"/>
        </w:rPr>
        <w:t>A. kuehniella</w:t>
      </w:r>
      <w:r w:rsidRPr="000F49BB">
        <w:rPr>
          <w:rFonts w:ascii="Century Gothic" w:hAnsi="Century Gothic"/>
          <w:sz w:val="22"/>
          <w:szCs w:val="22"/>
        </w:rPr>
        <w:t xml:space="preserve">. No 2º estádio as larvas do predador tiveram a dimensão do parâmetro igualada para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978 mm"/>
        </w:smartTagPr>
        <w:r w:rsidRPr="000F49BB">
          <w:rPr>
            <w:rFonts w:ascii="Century Gothic" w:hAnsi="Century Gothic"/>
            <w:sz w:val="22"/>
            <w:szCs w:val="22"/>
          </w:rPr>
          <w:t>0,978 mm</w:t>
        </w:r>
      </w:smartTag>
      <w:r w:rsidRPr="000F49BB">
        <w:rPr>
          <w:rFonts w:ascii="Century Gothic" w:hAnsi="Century Gothic"/>
          <w:sz w:val="22"/>
          <w:szCs w:val="22"/>
        </w:rPr>
        <w:t>)</w:t>
      </w:r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 xml:space="preserve">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841 mm"/>
        </w:smartTagPr>
        <w:r w:rsidRPr="000F49BB">
          <w:rPr>
            <w:rFonts w:ascii="Century Gothic" w:hAnsi="Century Gothic"/>
            <w:sz w:val="22"/>
            <w:szCs w:val="22"/>
          </w:rPr>
          <w:t>0,841 mm</w:t>
        </w:r>
      </w:smartTag>
      <w:r w:rsidRPr="000F49BB">
        <w:rPr>
          <w:rFonts w:ascii="Century Gothic" w:hAnsi="Century Gothic"/>
          <w:sz w:val="22"/>
          <w:szCs w:val="22"/>
        </w:rPr>
        <w:t xml:space="preserve">), sendo significativamente menos desenvolvido para os indivíduos que foram alimentados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633 mm"/>
        </w:smartTagPr>
        <w:r w:rsidRPr="000F49BB">
          <w:rPr>
            <w:rFonts w:ascii="Century Gothic" w:hAnsi="Century Gothic"/>
            <w:sz w:val="22"/>
            <w:szCs w:val="22"/>
          </w:rPr>
          <w:t>0,633 mm</w:t>
        </w:r>
      </w:smartTag>
      <w:r w:rsidRPr="000F49BB">
        <w:rPr>
          <w:rFonts w:ascii="Century Gothic" w:hAnsi="Century Gothic"/>
          <w:sz w:val="22"/>
          <w:szCs w:val="22"/>
        </w:rPr>
        <w:t xml:space="preserve">). As larvas de 3º estádio, para todos os substratos alimentares, apresentaram valores semelhantes para o parâmetro estudado, evidenciado recuperação em seu desenvolvimento, particularmente para aquelas alimentadas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>(Tabela 3).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ab/>
        <w:t xml:space="preserve">A largura da cápsula cefálica também só mostrou variação no 1º e 2º estádios larvais de </w:t>
      </w:r>
      <w:r w:rsidRPr="000F49BB">
        <w:rPr>
          <w:rFonts w:ascii="Century Gothic" w:hAnsi="Century Gothic"/>
          <w:i/>
          <w:sz w:val="22"/>
          <w:szCs w:val="22"/>
        </w:rPr>
        <w:t xml:space="preserve">C. paraguaria </w:t>
      </w:r>
      <w:r w:rsidRPr="000F49BB">
        <w:rPr>
          <w:rFonts w:ascii="Century Gothic" w:hAnsi="Century Gothic"/>
          <w:sz w:val="22"/>
          <w:szCs w:val="22"/>
        </w:rPr>
        <w:t xml:space="preserve">(Tabela 4). Assim, no 1º ínstar, larvas alimentadas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>apresentaram maior valor médio para o parâmetro (</w:t>
      </w:r>
      <w:smartTag w:uri="urn:schemas-microsoft-com:office:smarttags" w:element="metricconverter">
        <w:smartTagPr>
          <w:attr w:name="ProductID" w:val="0,427 mm"/>
        </w:smartTagPr>
        <w:r w:rsidRPr="000F49BB">
          <w:rPr>
            <w:rFonts w:ascii="Century Gothic" w:hAnsi="Century Gothic"/>
            <w:sz w:val="22"/>
            <w:szCs w:val="22"/>
          </w:rPr>
          <w:t>0,427 mm</w:t>
        </w:r>
      </w:smartTag>
      <w:r w:rsidRPr="000F49BB">
        <w:rPr>
          <w:rFonts w:ascii="Century Gothic" w:hAnsi="Century Gothic"/>
          <w:sz w:val="22"/>
          <w:szCs w:val="22"/>
        </w:rPr>
        <w:t xml:space="preserve">), enquanto que com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 xml:space="preserve">foi o menor (0,392mm), sendo esses dois valores semelhantes ao obtido para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396 mm"/>
        </w:smartTagPr>
        <w:r w:rsidRPr="000F49BB">
          <w:rPr>
            <w:rFonts w:ascii="Century Gothic" w:hAnsi="Century Gothic"/>
            <w:sz w:val="22"/>
            <w:szCs w:val="22"/>
          </w:rPr>
          <w:t>0,396 mm</w:t>
        </w:r>
      </w:smartTag>
      <w:r w:rsidRPr="000F49BB">
        <w:rPr>
          <w:rFonts w:ascii="Century Gothic" w:hAnsi="Century Gothic"/>
          <w:sz w:val="22"/>
          <w:szCs w:val="22"/>
        </w:rPr>
        <w:t xml:space="preserve">). No 2º estádio larvas alimentadas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>continuaram com os menores valores de cápsula cefálica (</w:t>
      </w:r>
      <w:smartTag w:uri="urn:schemas-microsoft-com:office:smarttags" w:element="metricconverter">
        <w:smartTagPr>
          <w:attr w:name="ProductID" w:val="0,473 mm"/>
        </w:smartTagPr>
        <w:r w:rsidRPr="000F49BB">
          <w:rPr>
            <w:rFonts w:ascii="Century Gothic" w:hAnsi="Century Gothic"/>
            <w:sz w:val="22"/>
            <w:szCs w:val="22"/>
          </w:rPr>
          <w:t>0,473 mm</w:t>
        </w:r>
      </w:smartTag>
      <w:r w:rsidRPr="000F49BB">
        <w:rPr>
          <w:rFonts w:ascii="Century Gothic" w:hAnsi="Century Gothic"/>
          <w:sz w:val="22"/>
          <w:szCs w:val="22"/>
        </w:rPr>
        <w:t xml:space="preserve">) e diferente de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554 mm"/>
        </w:smartTagPr>
        <w:r w:rsidRPr="000F49BB">
          <w:rPr>
            <w:rFonts w:ascii="Century Gothic" w:hAnsi="Century Gothic"/>
            <w:sz w:val="22"/>
            <w:szCs w:val="22"/>
          </w:rPr>
          <w:t>0,554 mm</w:t>
        </w:r>
      </w:smartTag>
      <w:r w:rsidRPr="000F49BB">
        <w:rPr>
          <w:rFonts w:ascii="Century Gothic" w:hAnsi="Century Gothic"/>
          <w:sz w:val="22"/>
          <w:szCs w:val="22"/>
        </w:rPr>
        <w:t xml:space="preserve">) e </w:t>
      </w:r>
      <w:r w:rsidRPr="000F49BB">
        <w:rPr>
          <w:rFonts w:ascii="Century Gothic" w:hAnsi="Century Gothic"/>
          <w:i/>
          <w:sz w:val="22"/>
          <w:szCs w:val="22"/>
        </w:rPr>
        <w:t xml:space="preserve">A. </w:t>
      </w:r>
      <w:proofErr w:type="spellStart"/>
      <w:r w:rsidRPr="000F49BB">
        <w:rPr>
          <w:rFonts w:ascii="Century Gothic" w:hAnsi="Century Gothic"/>
          <w:i/>
          <w:sz w:val="22"/>
          <w:szCs w:val="22"/>
        </w:rPr>
        <w:t>kuehniella</w:t>
      </w:r>
      <w:proofErr w:type="spellEnd"/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>(</w:t>
      </w:r>
      <w:smartTag w:uri="urn:schemas-microsoft-com:office:smarttags" w:element="metricconverter">
        <w:smartTagPr>
          <w:attr w:name="ProductID" w:val="0,609 mm"/>
        </w:smartTagPr>
        <w:r w:rsidRPr="000F49BB">
          <w:rPr>
            <w:rFonts w:ascii="Century Gothic" w:hAnsi="Century Gothic"/>
            <w:sz w:val="22"/>
            <w:szCs w:val="22"/>
          </w:rPr>
          <w:t>0,609 mm</w:t>
        </w:r>
      </w:smartTag>
      <w:r w:rsidRPr="000F49BB">
        <w:rPr>
          <w:rFonts w:ascii="Century Gothic" w:hAnsi="Century Gothic"/>
          <w:sz w:val="22"/>
          <w:szCs w:val="22"/>
        </w:rPr>
        <w:t xml:space="preserve">), estatisticamente semelhantes entre si. No 3º ínstar, como ocorreu para o comprimento do tórax + cabeça, a largura da cápsula cefálica foi semelhante para as larvas de </w:t>
      </w:r>
      <w:r w:rsidRPr="000F49BB">
        <w:rPr>
          <w:rFonts w:ascii="Century Gothic" w:hAnsi="Century Gothic"/>
          <w:i/>
          <w:sz w:val="22"/>
          <w:szCs w:val="22"/>
        </w:rPr>
        <w:t xml:space="preserve">C. paraguaria </w:t>
      </w:r>
      <w:r w:rsidRPr="000F49BB">
        <w:rPr>
          <w:rFonts w:ascii="Century Gothic" w:hAnsi="Century Gothic"/>
          <w:iCs/>
          <w:sz w:val="22"/>
          <w:szCs w:val="22"/>
        </w:rPr>
        <w:t>n</w:t>
      </w:r>
      <w:r w:rsidRPr="000F49BB">
        <w:rPr>
          <w:rFonts w:ascii="Century Gothic" w:hAnsi="Century Gothic"/>
          <w:sz w:val="22"/>
          <w:szCs w:val="22"/>
        </w:rPr>
        <w:t xml:space="preserve">os três substratos alimentares utilizados.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lastRenderedPageBreak/>
        <w:tab/>
        <w:t xml:space="preserve">O tamanho das larvas, medido em função peso médio das larvas alimentadas nos três substratos, foi semelhante no 1º ínstar, diferindo no 2º e no 3º estádios. Foram produzidos indivíduos maiores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 xml:space="preserve">(0,0148 e </w:t>
      </w:r>
      <w:smartTag w:uri="urn:schemas-microsoft-com:office:smarttags" w:element="metricconverter">
        <w:smartTagPr>
          <w:attr w:name="ProductID" w:val="0,0577 g"/>
        </w:smartTagPr>
        <w:r w:rsidRPr="000F49BB">
          <w:rPr>
            <w:rFonts w:ascii="Century Gothic" w:hAnsi="Century Gothic"/>
            <w:sz w:val="22"/>
            <w:szCs w:val="22"/>
          </w:rPr>
          <w:t>0,0577 g</w:t>
        </w:r>
      </w:smartTag>
      <w:r w:rsidRPr="000F49BB">
        <w:rPr>
          <w:rFonts w:ascii="Century Gothic" w:hAnsi="Century Gothic"/>
          <w:sz w:val="22"/>
          <w:szCs w:val="22"/>
        </w:rPr>
        <w:t xml:space="preserve">, respectivamente para o 1º e 2º ínstares), sendo os mais leves aqueles alimentados com ovos de </w:t>
      </w:r>
      <w:r w:rsidRPr="000F49BB">
        <w:rPr>
          <w:rFonts w:ascii="Century Gothic" w:hAnsi="Century Gothic"/>
          <w:i/>
          <w:sz w:val="22"/>
          <w:szCs w:val="22"/>
        </w:rPr>
        <w:t xml:space="preserve">D. saccharalis </w:t>
      </w:r>
      <w:r w:rsidRPr="000F49BB">
        <w:rPr>
          <w:rFonts w:ascii="Century Gothic" w:hAnsi="Century Gothic"/>
          <w:sz w:val="22"/>
          <w:szCs w:val="22"/>
        </w:rPr>
        <w:t xml:space="preserve">(0,0010 e </w:t>
      </w:r>
      <w:smartTag w:uri="urn:schemas-microsoft-com:office:smarttags" w:element="metricconverter">
        <w:smartTagPr>
          <w:attr w:name="ProductID" w:val="0,0111 g"/>
        </w:smartTagPr>
        <w:r w:rsidRPr="000F49BB">
          <w:rPr>
            <w:rFonts w:ascii="Century Gothic" w:hAnsi="Century Gothic"/>
            <w:sz w:val="22"/>
            <w:szCs w:val="22"/>
          </w:rPr>
          <w:t>0,0111 g</w:t>
        </w:r>
      </w:smartTag>
      <w:r w:rsidRPr="000F49BB">
        <w:rPr>
          <w:rFonts w:ascii="Century Gothic" w:hAnsi="Century Gothic"/>
          <w:sz w:val="22"/>
          <w:szCs w:val="22"/>
        </w:rPr>
        <w:t xml:space="preserve">), enquanto que no 3º ínstar os pesos médios foram </w:t>
      </w:r>
      <w:smartTag w:uri="urn:schemas-microsoft-com:office:smarttags" w:element="metricconverter">
        <w:smartTagPr>
          <w:attr w:name="ProductID" w:val="0,0577 g"/>
        </w:smartTagPr>
        <w:r w:rsidRPr="000F49BB">
          <w:rPr>
            <w:rFonts w:ascii="Century Gothic" w:hAnsi="Century Gothic"/>
            <w:sz w:val="22"/>
            <w:szCs w:val="22"/>
          </w:rPr>
          <w:t>0,0577 g</w:t>
        </w:r>
      </w:smartTag>
      <w:r w:rsidRPr="000F49BB">
        <w:rPr>
          <w:rFonts w:ascii="Century Gothic" w:hAnsi="Century Gothic"/>
          <w:sz w:val="22"/>
          <w:szCs w:val="22"/>
        </w:rPr>
        <w:t xml:space="preserve"> e </w:t>
      </w:r>
      <w:smartTag w:uri="urn:schemas-microsoft-com:office:smarttags" w:element="metricconverter">
        <w:smartTagPr>
          <w:attr w:name="ProductID" w:val="0,0378 g"/>
        </w:smartTagPr>
        <w:r w:rsidRPr="000F49BB">
          <w:rPr>
            <w:rFonts w:ascii="Century Gothic" w:hAnsi="Century Gothic"/>
            <w:sz w:val="22"/>
            <w:szCs w:val="22"/>
          </w:rPr>
          <w:t>0,0378 g</w:t>
        </w:r>
      </w:smartTag>
      <w:r w:rsidRPr="000F49BB">
        <w:rPr>
          <w:rFonts w:ascii="Century Gothic" w:hAnsi="Century Gothic"/>
          <w:sz w:val="22"/>
          <w:szCs w:val="22"/>
        </w:rPr>
        <w:t xml:space="preserve">, respectivamente, com os ovos de </w:t>
      </w:r>
      <w:r w:rsidRPr="000F49BB">
        <w:rPr>
          <w:rFonts w:ascii="Century Gothic" w:hAnsi="Century Gothic"/>
          <w:i/>
          <w:sz w:val="22"/>
          <w:szCs w:val="22"/>
        </w:rPr>
        <w:t xml:space="preserve">S. cerealella </w:t>
      </w:r>
      <w:r w:rsidRPr="000F49BB">
        <w:rPr>
          <w:rFonts w:ascii="Century Gothic" w:hAnsi="Century Gothic"/>
          <w:sz w:val="22"/>
          <w:szCs w:val="22"/>
        </w:rPr>
        <w:t>ficando com a posição intermediária (Tabela 5).</w:t>
      </w:r>
    </w:p>
    <w:p w:rsidR="001A5F61" w:rsidRPr="000F49BB" w:rsidRDefault="001A5F61" w:rsidP="002E2656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Os resultados </w:t>
      </w:r>
      <w:proofErr w:type="spellStart"/>
      <w:r w:rsidRPr="000F49BB">
        <w:rPr>
          <w:rFonts w:ascii="Century Gothic" w:hAnsi="Century Gothic"/>
          <w:sz w:val="22"/>
          <w:szCs w:val="22"/>
        </w:rPr>
        <w:t>morfométricos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encontrados por De </w:t>
      </w:r>
      <w:proofErr w:type="spellStart"/>
      <w:r w:rsidRPr="000F49BB">
        <w:rPr>
          <w:rFonts w:ascii="Century Gothic" w:hAnsi="Century Gothic"/>
          <w:sz w:val="22"/>
          <w:szCs w:val="22"/>
        </w:rPr>
        <w:t>Bortoli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Pr="000F49BB">
        <w:rPr>
          <w:rFonts w:ascii="Century Gothic" w:hAnsi="Century Gothic"/>
          <w:iCs/>
          <w:sz w:val="22"/>
          <w:szCs w:val="22"/>
        </w:rPr>
        <w:t>et</w:t>
      </w:r>
      <w:proofErr w:type="gramEnd"/>
      <w:r w:rsidRPr="000F49BB">
        <w:rPr>
          <w:rFonts w:ascii="Century Gothic" w:hAnsi="Century Gothic"/>
          <w:iCs/>
          <w:sz w:val="22"/>
          <w:szCs w:val="22"/>
        </w:rPr>
        <w:t xml:space="preserve"> al.</w:t>
      </w:r>
      <w:r w:rsidRPr="000F49BB">
        <w:rPr>
          <w:rFonts w:ascii="Century Gothic" w:hAnsi="Century Gothic"/>
          <w:sz w:val="22"/>
          <w:szCs w:val="22"/>
        </w:rPr>
        <w:t xml:space="preserve"> (2005) com larvas de </w:t>
      </w:r>
      <w:r w:rsidRPr="000F49BB">
        <w:rPr>
          <w:rFonts w:ascii="Century Gothic" w:hAnsi="Century Gothic"/>
          <w:i/>
          <w:sz w:val="22"/>
          <w:szCs w:val="22"/>
        </w:rPr>
        <w:t>Ceraeochrysa cincta</w:t>
      </w:r>
      <w:r w:rsidRPr="000F49BB">
        <w:rPr>
          <w:rFonts w:ascii="Century Gothic" w:hAnsi="Century Gothic"/>
          <w:iCs/>
          <w:sz w:val="22"/>
          <w:szCs w:val="22"/>
        </w:rPr>
        <w:t>,</w:t>
      </w:r>
      <w:r w:rsidRPr="000F49BB">
        <w:rPr>
          <w:rFonts w:ascii="Century Gothic" w:hAnsi="Century Gothic"/>
          <w:sz w:val="22"/>
          <w:szCs w:val="22"/>
        </w:rPr>
        <w:t xml:space="preserve"> também alimentadas com ovos de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i/>
          <w:sz w:val="22"/>
          <w:szCs w:val="22"/>
        </w:rPr>
        <w:t>S. cerealella</w:t>
      </w:r>
      <w:r w:rsidRPr="000F49BB">
        <w:rPr>
          <w:rFonts w:ascii="Century Gothic" w:hAnsi="Century Gothic"/>
          <w:sz w:val="22"/>
          <w:szCs w:val="22"/>
        </w:rPr>
        <w:t xml:space="preserve"> e </w:t>
      </w:r>
      <w:r w:rsidRPr="000F49BB">
        <w:rPr>
          <w:rFonts w:ascii="Century Gothic" w:hAnsi="Century Gothic"/>
          <w:i/>
          <w:sz w:val="22"/>
          <w:szCs w:val="22"/>
        </w:rPr>
        <w:t>A. Kuehniella</w:t>
      </w:r>
      <w:r w:rsidRPr="000F49BB">
        <w:rPr>
          <w:rFonts w:ascii="Century Gothic" w:hAnsi="Century Gothic"/>
          <w:iCs/>
          <w:sz w:val="22"/>
          <w:szCs w:val="22"/>
        </w:rPr>
        <w:t>,</w:t>
      </w:r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 xml:space="preserve">são, em relação à comparação entre eles, semelhantes aos encontrados neste trabalho, indicando que a alimentação diferenciada não interfere nos parâmetros medidos, ocorrendo apenas uma modificação significativa quanto ao peso do inseto na fase larval, mostrando ser os alimentos testados nutricionalmente diferentes para larvas de </w:t>
      </w:r>
      <w:r w:rsidRPr="000F49BB">
        <w:rPr>
          <w:rFonts w:ascii="Century Gothic" w:hAnsi="Century Gothic"/>
          <w:i/>
          <w:sz w:val="22"/>
          <w:szCs w:val="22"/>
        </w:rPr>
        <w:t>C. paraguaria</w:t>
      </w:r>
      <w:r w:rsidRPr="000F49BB">
        <w:rPr>
          <w:rFonts w:ascii="Century Gothic" w:hAnsi="Century Gothic"/>
          <w:sz w:val="22"/>
          <w:szCs w:val="22"/>
        </w:rPr>
        <w:t xml:space="preserve">, sendo ovos de </w:t>
      </w:r>
      <w:r w:rsidRPr="000F49BB">
        <w:rPr>
          <w:rFonts w:ascii="Century Gothic" w:hAnsi="Century Gothic"/>
          <w:i/>
          <w:sz w:val="22"/>
          <w:szCs w:val="22"/>
        </w:rPr>
        <w:t xml:space="preserve">A. kuehniella </w:t>
      </w:r>
      <w:r w:rsidRPr="000F49BB">
        <w:rPr>
          <w:rFonts w:ascii="Century Gothic" w:hAnsi="Century Gothic"/>
          <w:sz w:val="22"/>
          <w:szCs w:val="22"/>
        </w:rPr>
        <w:t xml:space="preserve">o melhor, enquanto que os de </w:t>
      </w:r>
      <w:r w:rsidRPr="000F49BB">
        <w:rPr>
          <w:rFonts w:ascii="Century Gothic" w:hAnsi="Century Gothic"/>
          <w:i/>
          <w:sz w:val="22"/>
          <w:szCs w:val="22"/>
        </w:rPr>
        <w:t>D. saccharalis</w:t>
      </w:r>
      <w:r w:rsidRPr="000F49BB">
        <w:rPr>
          <w:rFonts w:ascii="Century Gothic" w:hAnsi="Century Gothic"/>
          <w:sz w:val="22"/>
          <w:szCs w:val="22"/>
        </w:rPr>
        <w:t>,</w:t>
      </w:r>
      <w:r w:rsidRPr="000F49BB">
        <w:rPr>
          <w:rFonts w:ascii="Century Gothic" w:hAnsi="Century Gothic"/>
          <w:i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>o menos eficiente.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    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b/>
          <w:sz w:val="22"/>
          <w:szCs w:val="22"/>
        </w:rPr>
      </w:pPr>
      <w:r w:rsidRPr="000F49BB">
        <w:rPr>
          <w:rFonts w:ascii="Century Gothic" w:hAnsi="Century Gothic"/>
          <w:b/>
          <w:sz w:val="22"/>
          <w:szCs w:val="22"/>
        </w:rPr>
        <w:t>REFERÊNCIAS</w:t>
      </w:r>
    </w:p>
    <w:p w:rsidR="00143169" w:rsidRPr="00897F66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  <w:lang w:val="en-US"/>
        </w:rPr>
      </w:pP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>Adams, P.A.; Penny, N.D.,</w:t>
      </w:r>
      <w:r w:rsidRPr="000F49BB">
        <w:rPr>
          <w:rFonts w:ascii="Century Gothic" w:hAnsi="Century Gothic"/>
          <w:smallCaps/>
          <w:sz w:val="22"/>
          <w:szCs w:val="22"/>
          <w:lang w:val="en-US"/>
        </w:rPr>
        <w:t xml:space="preserve"> 1985.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  <w:proofErr w:type="spellStart"/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>Neuroptera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of the Amazon Basin.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 xml:space="preserve">Part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IIa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>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 xml:space="preserve">Introduction and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Chrysopini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>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  <w:proofErr w:type="spellStart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Acta</w:t>
      </w:r>
      <w:proofErr w:type="spell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Amazônica</w:t>
      </w:r>
      <w:proofErr w:type="spellEnd"/>
      <w:r w:rsidRPr="00897F66">
        <w:rPr>
          <w:rFonts w:ascii="Century Gothic" w:hAnsi="Century Gothic"/>
          <w:sz w:val="22"/>
          <w:szCs w:val="22"/>
          <w:lang w:val="en-US"/>
        </w:rPr>
        <w:t xml:space="preserve">, </w:t>
      </w:r>
      <w:r w:rsidRPr="00897F66">
        <w:rPr>
          <w:rFonts w:ascii="Century Gothic" w:hAnsi="Century Gothic"/>
          <w:bCs/>
          <w:sz w:val="22"/>
          <w:szCs w:val="22"/>
          <w:lang w:val="en-US"/>
        </w:rPr>
        <w:t>15:</w:t>
      </w:r>
      <w:r w:rsidRPr="00897F66">
        <w:rPr>
          <w:rFonts w:ascii="Century Gothic" w:hAnsi="Century Gothic"/>
          <w:sz w:val="22"/>
          <w:szCs w:val="22"/>
          <w:lang w:val="en-US"/>
        </w:rPr>
        <w:t xml:space="preserve"> 413-479.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>Brooks, S.J.; Barnard, P.C.,</w:t>
      </w:r>
      <w:r w:rsidRPr="000F49BB">
        <w:rPr>
          <w:rFonts w:ascii="Century Gothic" w:hAnsi="Century Gothic"/>
          <w:smallCaps/>
          <w:sz w:val="22"/>
          <w:szCs w:val="22"/>
          <w:lang w:val="en-US"/>
        </w:rPr>
        <w:t xml:space="preserve"> 1990.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The green lacewing of the world: a generic review (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Neuroptera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: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Chrysopidae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). </w:t>
      </w:r>
      <w:r w:rsidRPr="000F49BB">
        <w:rPr>
          <w:rFonts w:ascii="Century Gothic" w:hAnsi="Century Gothic"/>
          <w:b/>
          <w:sz w:val="22"/>
          <w:szCs w:val="22"/>
          <w:lang w:val="en-US"/>
        </w:rPr>
        <w:t xml:space="preserve">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Bull. Br. Nat. Hist.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bCs/>
          <w:sz w:val="22"/>
          <w:szCs w:val="22"/>
        </w:rPr>
        <w:t>59</w:t>
      </w:r>
      <w:r w:rsidRPr="000F49BB">
        <w:rPr>
          <w:rFonts w:ascii="Century Gothic" w:hAnsi="Century Gothic"/>
          <w:sz w:val="22"/>
          <w:szCs w:val="22"/>
        </w:rPr>
        <w:t>: 117-286.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lastRenderedPageBreak/>
        <w:t>Carvalho, C.F.; Souza, B.,</w:t>
      </w:r>
      <w:r w:rsidRPr="000F49BB">
        <w:rPr>
          <w:rFonts w:ascii="Century Gothic" w:hAnsi="Century Gothic"/>
          <w:smallCaps/>
          <w:sz w:val="22"/>
          <w:szCs w:val="22"/>
        </w:rPr>
        <w:t xml:space="preserve"> 2000.</w:t>
      </w:r>
      <w:r w:rsidRPr="000F49BB">
        <w:rPr>
          <w:rFonts w:ascii="Century Gothic" w:hAnsi="Century Gothic"/>
          <w:sz w:val="22"/>
          <w:szCs w:val="22"/>
        </w:rPr>
        <w:t xml:space="preserve"> Métodos de criação e produção de crisopídeos. In: Bueno, V.H.P. (Ed.).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Controle biológico de pragas: produção massal e controle de qualidade.</w:t>
      </w:r>
      <w:r w:rsidRPr="000F49BB">
        <w:rPr>
          <w:rFonts w:ascii="Century Gothic" w:hAnsi="Century Gothic"/>
          <w:sz w:val="22"/>
          <w:szCs w:val="22"/>
        </w:rPr>
        <w:t xml:space="preserve"> Lavras: UFLA, p. 91-109.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De </w:t>
      </w:r>
      <w:proofErr w:type="spellStart"/>
      <w:r w:rsidRPr="000F49BB">
        <w:rPr>
          <w:rFonts w:ascii="Century Gothic" w:hAnsi="Century Gothic"/>
          <w:sz w:val="22"/>
          <w:szCs w:val="22"/>
        </w:rPr>
        <w:t>Bortoli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, S.A.; </w:t>
      </w:r>
      <w:proofErr w:type="spellStart"/>
      <w:r w:rsidRPr="000F49BB">
        <w:rPr>
          <w:rFonts w:ascii="Century Gothic" w:hAnsi="Century Gothic"/>
          <w:sz w:val="22"/>
          <w:szCs w:val="22"/>
        </w:rPr>
        <w:t>Murata</w:t>
      </w:r>
      <w:proofErr w:type="spellEnd"/>
      <w:r w:rsidRPr="000F49BB">
        <w:rPr>
          <w:rFonts w:ascii="Century Gothic" w:hAnsi="Century Gothic"/>
          <w:sz w:val="22"/>
          <w:szCs w:val="22"/>
        </w:rPr>
        <w:t>, A.T.; Narciso, R.S.; Brito, C.H. de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2005. Aspectos nutricionais de </w:t>
      </w:r>
      <w:r w:rsidRPr="000F49BB">
        <w:rPr>
          <w:rFonts w:ascii="Century Gothic" w:hAnsi="Century Gothic"/>
          <w:i/>
          <w:sz w:val="22"/>
          <w:szCs w:val="22"/>
        </w:rPr>
        <w:t xml:space="preserve">Ceraeochrysa cincta </w:t>
      </w:r>
      <w:r w:rsidRPr="000F49BB">
        <w:rPr>
          <w:rFonts w:ascii="Century Gothic" w:hAnsi="Century Gothic"/>
          <w:sz w:val="22"/>
          <w:szCs w:val="22"/>
        </w:rPr>
        <w:t xml:space="preserve">Schneider, 1851 (Neuroptera: Chrysopidae) em diferentes presas.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Revista de Agricultura,</w:t>
      </w:r>
      <w:r w:rsidRPr="000F49BB">
        <w:rPr>
          <w:rFonts w:ascii="Century Gothic" w:hAnsi="Century Gothic"/>
          <w:sz w:val="22"/>
          <w:szCs w:val="22"/>
        </w:rPr>
        <w:t xml:space="preserve"> </w:t>
      </w:r>
      <w:r w:rsidRPr="000F49BB">
        <w:rPr>
          <w:rFonts w:ascii="Century Gothic" w:hAnsi="Century Gothic"/>
          <w:bCs/>
          <w:sz w:val="22"/>
          <w:szCs w:val="22"/>
        </w:rPr>
        <w:t>80</w:t>
      </w:r>
      <w:r w:rsidRPr="000F49BB">
        <w:rPr>
          <w:rFonts w:ascii="Century Gothic" w:hAnsi="Century Gothic"/>
          <w:sz w:val="22"/>
          <w:szCs w:val="22"/>
        </w:rPr>
        <w:t>(1): 1-11.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>Freitas, S. de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2001a.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O uso de crisopídeos no controle biológico de pragas.</w:t>
      </w:r>
      <w:r w:rsidRPr="000F49BB">
        <w:rPr>
          <w:rFonts w:ascii="Century Gothic" w:hAnsi="Century Gothic"/>
          <w:sz w:val="22"/>
          <w:szCs w:val="22"/>
        </w:rPr>
        <w:t xml:space="preserve"> Jaboticabal: </w:t>
      </w:r>
      <w:proofErr w:type="spellStart"/>
      <w:r w:rsidRPr="000F49BB">
        <w:rPr>
          <w:rFonts w:ascii="Century Gothic" w:hAnsi="Century Gothic"/>
          <w:sz w:val="22"/>
          <w:szCs w:val="22"/>
        </w:rPr>
        <w:t>Funep</w:t>
      </w:r>
      <w:proofErr w:type="spellEnd"/>
      <w:r w:rsidRPr="000F49BB">
        <w:rPr>
          <w:rFonts w:ascii="Century Gothic" w:hAnsi="Century Gothic"/>
          <w:sz w:val="22"/>
          <w:szCs w:val="22"/>
        </w:rPr>
        <w:t>, 66p.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>Freitas, S. de</w:t>
      </w:r>
      <w:proofErr w:type="gramStart"/>
      <w:r w:rsidRPr="000F49BB">
        <w:rPr>
          <w:rFonts w:ascii="Century Gothic" w:hAnsi="Century Gothic"/>
          <w:sz w:val="22"/>
          <w:szCs w:val="22"/>
        </w:rPr>
        <w:t>.,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2001b.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Criação de crisopídeos (bicho lixeiro) em laboratório.</w:t>
      </w:r>
      <w:r w:rsidRPr="000F49BB">
        <w:rPr>
          <w:rFonts w:ascii="Century Gothic" w:hAnsi="Century Gothic"/>
          <w:b/>
          <w:sz w:val="22"/>
          <w:szCs w:val="22"/>
        </w:rPr>
        <w:t xml:space="preserve"> </w:t>
      </w:r>
      <w:r w:rsidRPr="000F49BB">
        <w:rPr>
          <w:rFonts w:ascii="Century Gothic" w:hAnsi="Century Gothic"/>
          <w:sz w:val="22"/>
          <w:szCs w:val="22"/>
        </w:rPr>
        <w:t xml:space="preserve">Jaboticabal: </w:t>
      </w:r>
      <w:proofErr w:type="spellStart"/>
      <w:r w:rsidRPr="000F49BB">
        <w:rPr>
          <w:rFonts w:ascii="Century Gothic" w:hAnsi="Century Gothic"/>
          <w:sz w:val="22"/>
          <w:szCs w:val="22"/>
        </w:rPr>
        <w:t>Funep</w:t>
      </w:r>
      <w:proofErr w:type="spellEnd"/>
      <w:r w:rsidRPr="000F49BB">
        <w:rPr>
          <w:rFonts w:ascii="Century Gothic" w:hAnsi="Century Gothic"/>
          <w:sz w:val="22"/>
          <w:szCs w:val="22"/>
        </w:rPr>
        <w:t>, 20p.</w:t>
      </w:r>
    </w:p>
    <w:p w:rsidR="00143169" w:rsidRPr="00897F66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  <w:lang w:val="en-US"/>
        </w:rPr>
      </w:pPr>
      <w:proofErr w:type="spellStart"/>
      <w:r w:rsidRPr="000F49BB">
        <w:rPr>
          <w:rFonts w:ascii="Century Gothic" w:hAnsi="Century Gothic"/>
          <w:sz w:val="22"/>
          <w:szCs w:val="22"/>
        </w:rPr>
        <w:t>Gitirana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 Neto, J</w:t>
      </w:r>
      <w:proofErr w:type="gramStart"/>
      <w:r w:rsidRPr="000F49BB">
        <w:rPr>
          <w:rFonts w:ascii="Century Gothic" w:hAnsi="Century Gothic"/>
          <w:sz w:val="22"/>
          <w:szCs w:val="22"/>
        </w:rPr>
        <w:t>.;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Carvalho, C.F.; Souza, B.; Santa-Cecília, L.V.C., 2001. Flutuação populacional de espécies de </w:t>
      </w:r>
      <w:r w:rsidRPr="000F49BB">
        <w:rPr>
          <w:rFonts w:ascii="Century Gothic" w:hAnsi="Century Gothic"/>
          <w:i/>
          <w:sz w:val="22"/>
          <w:szCs w:val="22"/>
        </w:rPr>
        <w:t xml:space="preserve">Ceraeochrysa </w:t>
      </w:r>
      <w:r w:rsidRPr="000F49BB">
        <w:rPr>
          <w:rFonts w:ascii="Century Gothic" w:hAnsi="Century Gothic"/>
          <w:sz w:val="22"/>
          <w:szCs w:val="22"/>
        </w:rPr>
        <w:t xml:space="preserve">Adams, 1982 (Neuroptera: Chrysopidae) em citros, na região de Lavras-MG. </w:t>
      </w:r>
      <w:proofErr w:type="spellStart"/>
      <w:proofErr w:type="gramStart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Ciênc</w:t>
      </w:r>
      <w:proofErr w:type="spell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.</w:t>
      </w:r>
      <w:proofErr w:type="gram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Agrotec</w:t>
      </w:r>
      <w:proofErr w:type="spell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.</w:t>
      </w:r>
      <w:r w:rsidRPr="00897F66">
        <w:rPr>
          <w:rFonts w:ascii="Century Gothic" w:hAnsi="Century Gothic"/>
          <w:sz w:val="22"/>
          <w:szCs w:val="22"/>
          <w:lang w:val="en-US"/>
        </w:rPr>
        <w:t>,</w:t>
      </w:r>
      <w:proofErr w:type="gramEnd"/>
      <w:r w:rsidRPr="00897F66">
        <w:rPr>
          <w:rFonts w:ascii="Century Gothic" w:hAnsi="Century Gothic"/>
          <w:sz w:val="22"/>
          <w:szCs w:val="22"/>
          <w:lang w:val="en-US"/>
        </w:rPr>
        <w:t xml:space="preserve"> </w:t>
      </w:r>
      <w:r w:rsidRPr="00897F66">
        <w:rPr>
          <w:rFonts w:ascii="Century Gothic" w:hAnsi="Century Gothic"/>
          <w:bCs/>
          <w:sz w:val="22"/>
          <w:szCs w:val="22"/>
          <w:lang w:val="en-US"/>
        </w:rPr>
        <w:t>25</w:t>
      </w:r>
      <w:r w:rsidRPr="00897F66">
        <w:rPr>
          <w:rFonts w:ascii="Century Gothic" w:hAnsi="Century Gothic"/>
          <w:sz w:val="22"/>
          <w:szCs w:val="22"/>
          <w:lang w:val="en-US"/>
        </w:rPr>
        <w:t>(3): 550-559.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>New, T.R., 1975.</w:t>
      </w:r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The biology of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Chrysopidae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and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Hemerobiidae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(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Neuroptera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), with reference to their usage as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biocontrol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agents: a review.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Trans. R. Entomol. Soc.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bCs/>
          <w:sz w:val="22"/>
          <w:szCs w:val="22"/>
        </w:rPr>
        <w:t>127</w:t>
      </w:r>
      <w:r w:rsidRPr="000F49BB">
        <w:rPr>
          <w:rFonts w:ascii="Century Gothic" w:hAnsi="Century Gothic"/>
          <w:sz w:val="22"/>
          <w:szCs w:val="22"/>
        </w:rPr>
        <w:t>: 115-140.</w:t>
      </w:r>
    </w:p>
    <w:p w:rsidR="00143169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F49BB">
        <w:rPr>
          <w:rFonts w:ascii="Century Gothic" w:hAnsi="Century Gothic"/>
          <w:sz w:val="22"/>
          <w:szCs w:val="22"/>
        </w:rPr>
        <w:t xml:space="preserve">Oliveira, J.E. </w:t>
      </w:r>
      <w:proofErr w:type="gramStart"/>
      <w:r w:rsidRPr="000F49BB">
        <w:rPr>
          <w:rFonts w:ascii="Century Gothic" w:hAnsi="Century Gothic"/>
          <w:sz w:val="22"/>
          <w:szCs w:val="22"/>
        </w:rPr>
        <w:t>de</w:t>
      </w:r>
      <w:proofErr w:type="gramEnd"/>
      <w:r w:rsidRPr="000F49BB">
        <w:rPr>
          <w:rFonts w:ascii="Century Gothic" w:hAnsi="Century Gothic"/>
          <w:sz w:val="22"/>
          <w:szCs w:val="22"/>
        </w:rPr>
        <w:t xml:space="preserve"> M.; Torres, J.B.; </w:t>
      </w:r>
      <w:proofErr w:type="spellStart"/>
      <w:r w:rsidRPr="000F49BB">
        <w:rPr>
          <w:rFonts w:ascii="Century Gothic" w:hAnsi="Century Gothic"/>
          <w:sz w:val="22"/>
          <w:szCs w:val="22"/>
        </w:rPr>
        <w:t>Carrano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-Moreira, A.F.; </w:t>
      </w:r>
      <w:proofErr w:type="spellStart"/>
      <w:r w:rsidRPr="000F49BB">
        <w:rPr>
          <w:rFonts w:ascii="Century Gothic" w:hAnsi="Century Gothic"/>
          <w:sz w:val="22"/>
          <w:szCs w:val="22"/>
        </w:rPr>
        <w:t>Zanuncio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, J.C., 2001. Efeito da densidade de presas e do acasalamento na taxa de predação de fêmeas de </w:t>
      </w:r>
      <w:r w:rsidRPr="000F49BB">
        <w:rPr>
          <w:rFonts w:ascii="Century Gothic" w:hAnsi="Century Gothic"/>
          <w:i/>
          <w:sz w:val="22"/>
          <w:szCs w:val="22"/>
        </w:rPr>
        <w:t xml:space="preserve">Podisus nigrispinus </w:t>
      </w:r>
      <w:r w:rsidRPr="000F49BB">
        <w:rPr>
          <w:rFonts w:ascii="Century Gothic" w:hAnsi="Century Gothic"/>
          <w:sz w:val="22"/>
          <w:szCs w:val="22"/>
        </w:rPr>
        <w:t xml:space="preserve">(Dallas) (Heteroptera: Pentatomidae) em condições de laboratório e campo.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 xml:space="preserve">Neotropical </w:t>
      </w:r>
      <w:proofErr w:type="spellStart"/>
      <w:r w:rsidRPr="000F49BB">
        <w:rPr>
          <w:rFonts w:ascii="Century Gothic" w:hAnsi="Century Gothic"/>
          <w:bCs/>
          <w:i/>
          <w:iCs/>
          <w:sz w:val="22"/>
          <w:szCs w:val="22"/>
        </w:rPr>
        <w:t>Entomology</w:t>
      </w:r>
      <w:proofErr w:type="spellEnd"/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bCs/>
          <w:sz w:val="22"/>
          <w:szCs w:val="22"/>
        </w:rPr>
        <w:t>30</w:t>
      </w:r>
      <w:r w:rsidRPr="000F49BB">
        <w:rPr>
          <w:rFonts w:ascii="Century Gothic" w:hAnsi="Century Gothic"/>
          <w:sz w:val="22"/>
          <w:szCs w:val="22"/>
        </w:rPr>
        <w:t>(4): 647-654.</w:t>
      </w:r>
    </w:p>
    <w:p w:rsidR="00143169" w:rsidRPr="00897F66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  <w:lang w:val="en-US"/>
        </w:rPr>
      </w:pPr>
      <w:r w:rsidRPr="000F49BB">
        <w:rPr>
          <w:rFonts w:ascii="Century Gothic" w:hAnsi="Century Gothic"/>
          <w:sz w:val="22"/>
          <w:szCs w:val="22"/>
        </w:rPr>
        <w:t>Pessoa, L.G.A.; Leite, M.V.; Freitas, S. de; Garbin, G.C.</w:t>
      </w:r>
      <w:r w:rsidRPr="000F49BB">
        <w:rPr>
          <w:rFonts w:ascii="Century Gothic" w:hAnsi="Century Gothic"/>
          <w:smallCaps/>
          <w:sz w:val="22"/>
          <w:szCs w:val="22"/>
        </w:rPr>
        <w:t>, 2004.</w:t>
      </w:r>
      <w:r w:rsidRPr="000F49BB">
        <w:rPr>
          <w:rFonts w:ascii="Century Gothic" w:hAnsi="Century Gothic"/>
          <w:sz w:val="22"/>
          <w:szCs w:val="22"/>
        </w:rPr>
        <w:t xml:space="preserve"> Efeito da variação da temperatura sobre o desenvolvimento embrionário e pós-embrionário de </w:t>
      </w:r>
      <w:r w:rsidRPr="000F49BB">
        <w:rPr>
          <w:rFonts w:ascii="Century Gothic" w:hAnsi="Century Gothic"/>
          <w:i/>
          <w:sz w:val="22"/>
          <w:szCs w:val="22"/>
        </w:rPr>
        <w:lastRenderedPageBreak/>
        <w:t xml:space="preserve">Ceraeochrysa paraguaria </w:t>
      </w:r>
      <w:r w:rsidRPr="000F49BB">
        <w:rPr>
          <w:rFonts w:ascii="Century Gothic" w:hAnsi="Century Gothic"/>
          <w:sz w:val="22"/>
          <w:szCs w:val="22"/>
        </w:rPr>
        <w:t xml:space="preserve">(Navás) (Neuroptera: Chrysopidae). </w:t>
      </w:r>
      <w:proofErr w:type="spellStart"/>
      <w:proofErr w:type="gramStart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Arq</w:t>
      </w:r>
      <w:proofErr w:type="spell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>.</w:t>
      </w:r>
      <w:proofErr w:type="gramEnd"/>
      <w:r w:rsidRPr="00897F66">
        <w:rPr>
          <w:rFonts w:ascii="Century Gothic" w:hAnsi="Century Gothic"/>
          <w:bCs/>
          <w:i/>
          <w:iCs/>
          <w:sz w:val="22"/>
          <w:szCs w:val="22"/>
          <w:lang w:val="en-US"/>
        </w:rPr>
        <w:t xml:space="preserve"> Inst. Biol.</w:t>
      </w:r>
      <w:r w:rsidRPr="00897F66">
        <w:rPr>
          <w:rFonts w:ascii="Century Gothic" w:hAnsi="Century Gothic"/>
          <w:sz w:val="22"/>
          <w:szCs w:val="22"/>
          <w:lang w:val="en-US"/>
        </w:rPr>
        <w:t xml:space="preserve">, </w:t>
      </w:r>
      <w:r w:rsidRPr="00897F66">
        <w:rPr>
          <w:rFonts w:ascii="Century Gothic" w:hAnsi="Century Gothic"/>
          <w:bCs/>
          <w:sz w:val="22"/>
          <w:szCs w:val="22"/>
          <w:lang w:val="en-US"/>
        </w:rPr>
        <w:t>71</w:t>
      </w:r>
      <w:r w:rsidRPr="00897F66">
        <w:rPr>
          <w:rFonts w:ascii="Century Gothic" w:hAnsi="Century Gothic"/>
          <w:sz w:val="22"/>
          <w:szCs w:val="22"/>
          <w:lang w:val="en-US"/>
        </w:rPr>
        <w:t>(4): 473-474.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Tauber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, C.A., 1974. Systematics of </w:t>
      </w:r>
      <w:proofErr w:type="gramStart"/>
      <w:r w:rsidRPr="000F49BB">
        <w:rPr>
          <w:rFonts w:ascii="Century Gothic" w:hAnsi="Century Gothic"/>
          <w:sz w:val="22"/>
          <w:szCs w:val="22"/>
          <w:lang w:val="en-US"/>
        </w:rPr>
        <w:t xml:space="preserve">north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american</w:t>
      </w:r>
      <w:proofErr w:type="spellEnd"/>
      <w:proofErr w:type="gramEnd"/>
      <w:r w:rsidRPr="000F49BB">
        <w:rPr>
          <w:rFonts w:ascii="Century Gothic" w:hAnsi="Century Gothic"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chrysopid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larvae: </w:t>
      </w:r>
      <w:proofErr w:type="spellStart"/>
      <w:r w:rsidRPr="000F49BB">
        <w:rPr>
          <w:rFonts w:ascii="Century Gothic" w:hAnsi="Century Gothic"/>
          <w:i/>
          <w:sz w:val="22"/>
          <w:szCs w:val="22"/>
          <w:lang w:val="en-US"/>
        </w:rPr>
        <w:t>Chrysopa</w:t>
      </w:r>
      <w:proofErr w:type="spellEnd"/>
      <w:r w:rsidRPr="000F49BB">
        <w:rPr>
          <w:rFonts w:ascii="Century Gothic" w:hAnsi="Century Gothic"/>
          <w:i/>
          <w:sz w:val="22"/>
          <w:szCs w:val="22"/>
          <w:lang w:val="en-US"/>
        </w:rPr>
        <w:t xml:space="preserve"> </w:t>
      </w:r>
      <w:proofErr w:type="spellStart"/>
      <w:r w:rsidRPr="000F49BB">
        <w:rPr>
          <w:rFonts w:ascii="Century Gothic" w:hAnsi="Century Gothic"/>
          <w:i/>
          <w:sz w:val="22"/>
          <w:szCs w:val="22"/>
          <w:lang w:val="en-US"/>
        </w:rPr>
        <w:t>carnea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 group (</w:t>
      </w:r>
      <w:proofErr w:type="spellStart"/>
      <w:r w:rsidRPr="000F49BB">
        <w:rPr>
          <w:rFonts w:ascii="Century Gothic" w:hAnsi="Century Gothic"/>
          <w:sz w:val="22"/>
          <w:szCs w:val="22"/>
          <w:lang w:val="en-US"/>
        </w:rPr>
        <w:t>Neuroptera</w:t>
      </w:r>
      <w:proofErr w:type="spellEnd"/>
      <w:r w:rsidRPr="000F49BB">
        <w:rPr>
          <w:rFonts w:ascii="Century Gothic" w:hAnsi="Century Gothic"/>
          <w:sz w:val="22"/>
          <w:szCs w:val="22"/>
          <w:lang w:val="en-US"/>
        </w:rPr>
        <w:t xml:space="preserve">). </w:t>
      </w:r>
      <w:r w:rsidRPr="000F49BB">
        <w:rPr>
          <w:rFonts w:ascii="Century Gothic" w:hAnsi="Century Gothic"/>
          <w:bCs/>
          <w:i/>
          <w:iCs/>
          <w:sz w:val="22"/>
          <w:szCs w:val="22"/>
        </w:rPr>
        <w:t>Can. Entomol.</w:t>
      </w:r>
      <w:r w:rsidRPr="000F49BB">
        <w:rPr>
          <w:rFonts w:ascii="Century Gothic" w:hAnsi="Century Gothic"/>
          <w:sz w:val="22"/>
          <w:szCs w:val="22"/>
        </w:rPr>
        <w:t xml:space="preserve">, </w:t>
      </w:r>
      <w:r w:rsidRPr="000F49BB">
        <w:rPr>
          <w:rFonts w:ascii="Century Gothic" w:hAnsi="Century Gothic"/>
          <w:bCs/>
          <w:sz w:val="22"/>
          <w:szCs w:val="22"/>
        </w:rPr>
        <w:t>106</w:t>
      </w:r>
      <w:r w:rsidRPr="000F49BB">
        <w:rPr>
          <w:rFonts w:ascii="Century Gothic" w:hAnsi="Century Gothic"/>
          <w:sz w:val="22"/>
          <w:szCs w:val="22"/>
        </w:rPr>
        <w:t>: 1133-1153.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2"/>
          <w:szCs w:val="22"/>
        </w:rPr>
      </w:pPr>
    </w:p>
    <w:p w:rsidR="00143169" w:rsidRPr="000F49BB" w:rsidRDefault="00143169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43169" w:rsidRPr="000F49BB" w:rsidRDefault="00143169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F49BB">
        <w:rPr>
          <w:rFonts w:ascii="Century Gothic" w:hAnsi="Century Gothic"/>
          <w:sz w:val="20"/>
          <w:szCs w:val="20"/>
        </w:rPr>
        <w:t xml:space="preserve">Tabela 1 – Comprimento médio (mm) das mandíbulas de larvas de </w:t>
      </w:r>
      <w:r w:rsidRPr="000F49BB">
        <w:rPr>
          <w:rFonts w:ascii="Century Gothic" w:hAnsi="Century Gothic"/>
          <w:i/>
          <w:sz w:val="20"/>
          <w:szCs w:val="20"/>
        </w:rPr>
        <w:t>Ceraeochrysa paraguaria</w:t>
      </w:r>
      <w:r w:rsidRPr="000F49BB">
        <w:rPr>
          <w:rFonts w:ascii="Century Gothic" w:hAnsi="Century Gothic"/>
          <w:sz w:val="20"/>
          <w:szCs w:val="20"/>
        </w:rPr>
        <w:t xml:space="preserve"> alimentadas com ovos de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Diatraea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saccharalis</w:t>
      </w:r>
      <w:proofErr w:type="spellEnd"/>
      <w:r w:rsidRPr="000F49BB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Sitotroga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cerealella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r w:rsidRPr="000F49BB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Anagasta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kuehniella</w:t>
      </w:r>
      <w:proofErr w:type="spellEnd"/>
      <w:r w:rsidRPr="000F49BB">
        <w:rPr>
          <w:rFonts w:ascii="Century Gothic" w:hAnsi="Century Gothic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4"/>
        <w:gridCol w:w="1771"/>
        <w:gridCol w:w="1771"/>
        <w:gridCol w:w="1772"/>
      </w:tblGrid>
      <w:tr w:rsidR="001A5F61" w:rsidRPr="000F49BB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Alimento larval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 xml:space="preserve">        (ovos)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 xml:space="preserve">1º </w:t>
            </w:r>
            <w:r w:rsidR="00C52923" w:rsidRPr="000F49BB">
              <w:rPr>
                <w:rFonts w:ascii="Century Gothic" w:hAnsi="Century Gothic"/>
                <w:b/>
                <w:sz w:val="20"/>
                <w:szCs w:val="20"/>
              </w:rPr>
              <w:t>instar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2º ínstar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3º ínstar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Diatraea saccharalis</w:t>
            </w: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0,345b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0,527b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0,643b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Sitotroga cerealella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0,373</w:t>
            </w:r>
            <w:r w:rsidRPr="000F49BB">
              <w:rPr>
                <w:rFonts w:ascii="Century Gothic" w:hAnsi="Century Gothic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0,533a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0,710a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Anagasta kuehniella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0,353ab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0,513b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0,734a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proofErr w:type="gramStart"/>
            <w:r w:rsidRPr="000F49BB">
              <w:rPr>
                <w:rFonts w:ascii="Century Gothic" w:hAnsi="Century Gothic"/>
                <w:sz w:val="20"/>
                <w:szCs w:val="20"/>
              </w:rPr>
              <w:t>dms</w:t>
            </w:r>
            <w:proofErr w:type="spellEnd"/>
            <w:proofErr w:type="gramEnd"/>
            <w:r w:rsidRPr="000F49BB">
              <w:rPr>
                <w:rFonts w:ascii="Century Gothic" w:hAnsi="Century Gothic"/>
                <w:sz w:val="20"/>
                <w:szCs w:val="20"/>
              </w:rPr>
              <w:t xml:space="preserve"> (5%)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CV (%)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0,0175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1,70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0,0356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3,17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0,0662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5,47</w:t>
            </w:r>
          </w:p>
        </w:tc>
      </w:tr>
    </w:tbl>
    <w:p w:rsidR="001A5F61" w:rsidRPr="000F49BB" w:rsidRDefault="001A5F61" w:rsidP="00C52923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Médias seguidas de mesma letra, nas colunas, não diferem entre si pelo teste de Tukey a 5% de probabilidade</w:t>
      </w:r>
    </w:p>
    <w:p w:rsidR="001A5F61" w:rsidRPr="000F49BB" w:rsidRDefault="001A5F61" w:rsidP="00C52923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N = número de indivíduos avaliados</w:t>
      </w:r>
    </w:p>
    <w:p w:rsidR="001A5F61" w:rsidRPr="000F49BB" w:rsidRDefault="001A5F61" w:rsidP="002E2656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2E2656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2E2656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F49BB">
        <w:rPr>
          <w:rFonts w:ascii="Century Gothic" w:hAnsi="Century Gothic"/>
          <w:sz w:val="20"/>
          <w:szCs w:val="20"/>
        </w:rPr>
        <w:t xml:space="preserve">Tabela 2 – Comprimento médio (mm) da cabeça de larvas de </w:t>
      </w:r>
      <w:r w:rsidRPr="000F49BB">
        <w:rPr>
          <w:rFonts w:ascii="Century Gothic" w:hAnsi="Century Gothic"/>
          <w:i/>
          <w:sz w:val="20"/>
          <w:szCs w:val="20"/>
        </w:rPr>
        <w:t xml:space="preserve">Ceraeochrysa paraguaria </w:t>
      </w:r>
      <w:r w:rsidRPr="000F49BB">
        <w:rPr>
          <w:rFonts w:ascii="Century Gothic" w:hAnsi="Century Gothic"/>
          <w:sz w:val="20"/>
          <w:szCs w:val="20"/>
        </w:rPr>
        <w:t xml:space="preserve">alimentadas com ovos de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Diatraea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saccharalis</w:t>
      </w:r>
      <w:proofErr w:type="spellEnd"/>
      <w:r w:rsidRPr="000F49BB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Sitotroga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cerealella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r w:rsidRPr="000F49BB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Anagasta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kuehniella</w:t>
      </w:r>
      <w:proofErr w:type="spellEnd"/>
      <w:r w:rsidRPr="000F49BB">
        <w:rPr>
          <w:rFonts w:ascii="Century Gothic" w:hAnsi="Century Gothic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4"/>
        <w:gridCol w:w="1771"/>
        <w:gridCol w:w="1771"/>
        <w:gridCol w:w="1772"/>
      </w:tblGrid>
      <w:tr w:rsidR="001A5F61" w:rsidRPr="000F49BB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Alimento larval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 xml:space="preserve">        (ovos)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1º ínstar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2º ínstar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3º ínstar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lastRenderedPageBreak/>
              <w:t>Diatraea</w:t>
            </w:r>
            <w:proofErr w:type="spell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saccharalis</w:t>
            </w:r>
            <w:proofErr w:type="spellEnd"/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0,283a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0,417a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0,530a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Sitotroga cerealella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0,287a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0,347a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0,503a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Anagasta kuehniella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0,296b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0,458a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0,567a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0F49BB">
              <w:rPr>
                <w:rFonts w:ascii="Century Gothic" w:hAnsi="Century Gothic"/>
                <w:sz w:val="20"/>
                <w:szCs w:val="20"/>
              </w:rPr>
              <w:t>dms</w:t>
            </w:r>
            <w:proofErr w:type="gramEnd"/>
            <w:r w:rsidRPr="000F49BB">
              <w:rPr>
                <w:rFonts w:ascii="Century Gothic" w:hAnsi="Century Gothic"/>
                <w:sz w:val="20"/>
                <w:szCs w:val="20"/>
              </w:rPr>
              <w:t xml:space="preserve"> (5%)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CV (%)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0,0270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2,75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0,0274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2,60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0,0499</w:t>
            </w: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4,43</w:t>
            </w:r>
          </w:p>
        </w:tc>
      </w:tr>
    </w:tbl>
    <w:p w:rsidR="001A5F61" w:rsidRPr="000F49BB" w:rsidRDefault="001A5F61" w:rsidP="00C52923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Médias seguidas de mesma letra, nas colunas, não diferem entre si pelo teste de Tukey a 5% de probabilidade</w:t>
      </w:r>
    </w:p>
    <w:p w:rsidR="001A5F61" w:rsidRPr="000F49BB" w:rsidRDefault="001A5F61" w:rsidP="00C52923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N = número de indivíduos avaliados</w:t>
      </w: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F49BB">
        <w:rPr>
          <w:rFonts w:ascii="Century Gothic" w:hAnsi="Century Gothic"/>
          <w:sz w:val="20"/>
          <w:szCs w:val="20"/>
        </w:rPr>
        <w:t xml:space="preserve">Tabela 3 – Distância média (mm) entre o início do primeiro segmento abdominal até a base das mandíbulas de larvas de </w:t>
      </w:r>
      <w:r w:rsidRPr="000F49BB">
        <w:rPr>
          <w:rFonts w:ascii="Century Gothic" w:hAnsi="Century Gothic"/>
          <w:i/>
          <w:sz w:val="20"/>
          <w:szCs w:val="20"/>
        </w:rPr>
        <w:t>Ceraeochrysa paraguaria</w:t>
      </w:r>
      <w:r w:rsidRPr="000F49BB">
        <w:rPr>
          <w:rFonts w:ascii="Century Gothic" w:hAnsi="Century Gothic"/>
          <w:sz w:val="20"/>
          <w:szCs w:val="20"/>
        </w:rPr>
        <w:t xml:space="preserve"> alimentadas com ovos de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Diatraea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saccharalis</w:t>
      </w:r>
      <w:proofErr w:type="spellEnd"/>
      <w:r w:rsidRPr="000F49BB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Sitotroga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cerealella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r w:rsidRPr="000F49BB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Anagasta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kuehniella</w:t>
      </w:r>
      <w:proofErr w:type="spellEnd"/>
      <w:r w:rsidRPr="000F49BB">
        <w:rPr>
          <w:rFonts w:ascii="Century Gothic" w:hAnsi="Century Gothic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4"/>
        <w:gridCol w:w="1771"/>
        <w:gridCol w:w="1771"/>
        <w:gridCol w:w="1772"/>
      </w:tblGrid>
      <w:tr w:rsidR="001A5F61" w:rsidRPr="000F49BB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Alimento larval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 xml:space="preserve">        (ovos)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1º ínstar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2º ínstar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3º ínstar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Diatraea</w:t>
            </w:r>
            <w:proofErr w:type="spell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saccharalis</w:t>
            </w:r>
            <w:proofErr w:type="spellEnd"/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0,403a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0,633b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0,897a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Sitotroga cerealella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0,473b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0,978a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1,119a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Anagasta kuehniella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0,539c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0,841a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1,113a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proofErr w:type="gramStart"/>
            <w:r w:rsidRPr="000F49BB">
              <w:rPr>
                <w:rFonts w:ascii="Century Gothic" w:hAnsi="Century Gothic"/>
                <w:sz w:val="20"/>
                <w:szCs w:val="20"/>
              </w:rPr>
              <w:t>dms</w:t>
            </w:r>
            <w:proofErr w:type="spellEnd"/>
            <w:proofErr w:type="gramEnd"/>
            <w:r w:rsidRPr="000F49BB">
              <w:rPr>
                <w:rFonts w:ascii="Century Gothic" w:hAnsi="Century Gothic"/>
                <w:sz w:val="20"/>
                <w:szCs w:val="20"/>
              </w:rPr>
              <w:t xml:space="preserve"> (5%)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CV (%)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0,0334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3,05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0,0730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5,59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0,3891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17,01</w:t>
            </w:r>
          </w:p>
        </w:tc>
      </w:tr>
    </w:tbl>
    <w:p w:rsidR="001A5F61" w:rsidRPr="000F49BB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Médias seguidas de mesma letra, nas colunas, não diferem entre si pelo teste de Tukey a 5% de probabilidade</w:t>
      </w:r>
    </w:p>
    <w:p w:rsidR="001A5F61" w:rsidRPr="000F49BB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N = número de indivíduos avaliados</w:t>
      </w: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F49BB">
        <w:rPr>
          <w:rFonts w:ascii="Century Gothic" w:hAnsi="Century Gothic"/>
          <w:sz w:val="20"/>
          <w:szCs w:val="20"/>
        </w:rPr>
        <w:t xml:space="preserve">Tabela 4 – Largura média (mm) da cápsula cefálica de larvas de </w:t>
      </w:r>
      <w:r w:rsidRPr="000F49BB">
        <w:rPr>
          <w:rFonts w:ascii="Century Gothic" w:hAnsi="Century Gothic"/>
          <w:i/>
          <w:sz w:val="20"/>
          <w:szCs w:val="20"/>
        </w:rPr>
        <w:t>Ceraeochrysa paraguaria</w:t>
      </w:r>
      <w:r w:rsidRPr="000F49BB">
        <w:rPr>
          <w:rFonts w:ascii="Century Gothic" w:hAnsi="Century Gothic"/>
          <w:sz w:val="20"/>
          <w:szCs w:val="20"/>
        </w:rPr>
        <w:t xml:space="preserve"> alimentadas com ovos de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Diatraea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saccharalis</w:t>
      </w:r>
      <w:proofErr w:type="spellEnd"/>
      <w:r w:rsidRPr="000F49BB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Sitotroga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cerealella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r w:rsidRPr="000F49BB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Anagasta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kuehniella</w:t>
      </w:r>
      <w:proofErr w:type="spellEnd"/>
      <w:r w:rsidRPr="000F49BB">
        <w:rPr>
          <w:rFonts w:ascii="Century Gothic" w:hAnsi="Century Gothic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4"/>
        <w:gridCol w:w="1771"/>
        <w:gridCol w:w="1771"/>
        <w:gridCol w:w="1772"/>
      </w:tblGrid>
      <w:tr w:rsidR="001A5F61" w:rsidRPr="000F49BB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Alimento larval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 xml:space="preserve">        (ovos)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1º ínstar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2º ínstar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3º ínstar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lastRenderedPageBreak/>
              <w:t>Diatraea</w:t>
            </w:r>
            <w:proofErr w:type="spell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saccharalis</w:t>
            </w:r>
            <w:proofErr w:type="spellEnd"/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0,392a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0,473b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0,651a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Sitotroga</w:t>
            </w:r>
            <w:proofErr w:type="gram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 </w:t>
            </w:r>
            <w:proofErr w:type="gram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cerealella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0,396ab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0,554a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0,690a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Anagasta kuehniella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0,427b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0,609a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0,726a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proofErr w:type="gramStart"/>
            <w:r w:rsidRPr="000F49BB">
              <w:rPr>
                <w:rFonts w:ascii="Century Gothic" w:hAnsi="Century Gothic"/>
                <w:sz w:val="20"/>
                <w:szCs w:val="20"/>
              </w:rPr>
              <w:t>dms</w:t>
            </w:r>
            <w:proofErr w:type="spellEnd"/>
            <w:proofErr w:type="gramEnd"/>
            <w:r w:rsidRPr="000F49BB">
              <w:rPr>
                <w:rFonts w:ascii="Century Gothic" w:hAnsi="Century Gothic"/>
                <w:sz w:val="20"/>
                <w:szCs w:val="20"/>
              </w:rPr>
              <w:t xml:space="preserve"> (5%)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CV (%)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0,0166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1,57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0,0339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2,99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0,0582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4,82</w:t>
            </w:r>
          </w:p>
        </w:tc>
      </w:tr>
    </w:tbl>
    <w:p w:rsidR="001A5F61" w:rsidRPr="000F49BB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Médias seguidas de mesma letra, nas colunas, não diferem entre si pelo teste de Tukey a 5% de probabilidade</w:t>
      </w:r>
    </w:p>
    <w:p w:rsidR="001A5F61" w:rsidRPr="000F49BB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N = número de indivíduos avaliados</w:t>
      </w: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0F49BB" w:rsidRDefault="009A69BD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43169" w:rsidRPr="000F49BB" w:rsidRDefault="00143169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43169" w:rsidRPr="000F49BB" w:rsidRDefault="00143169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0F49BB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0F49BB">
        <w:rPr>
          <w:rFonts w:ascii="Century Gothic" w:hAnsi="Century Gothic"/>
          <w:sz w:val="20"/>
          <w:szCs w:val="20"/>
        </w:rPr>
        <w:t xml:space="preserve">Tabela 5 – Peso médio (g) de larvas de </w:t>
      </w:r>
      <w:r w:rsidRPr="000F49BB">
        <w:rPr>
          <w:rFonts w:ascii="Century Gothic" w:hAnsi="Century Gothic"/>
          <w:i/>
          <w:sz w:val="20"/>
          <w:szCs w:val="20"/>
        </w:rPr>
        <w:t>Ceraeochrysa paraguaria</w:t>
      </w:r>
      <w:r w:rsidRPr="000F49BB">
        <w:rPr>
          <w:rFonts w:ascii="Century Gothic" w:hAnsi="Century Gothic"/>
          <w:sz w:val="20"/>
          <w:szCs w:val="20"/>
        </w:rPr>
        <w:t xml:space="preserve"> alimentadas com ovos de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Diatraea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saccharalis</w:t>
      </w:r>
      <w:proofErr w:type="spellEnd"/>
      <w:r w:rsidRPr="000F49BB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Sitotroga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cerealella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r w:rsidRPr="000F49BB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Anagasta</w:t>
      </w:r>
      <w:proofErr w:type="spellEnd"/>
      <w:r w:rsidRPr="000F49BB">
        <w:rPr>
          <w:rFonts w:ascii="Century Gothic" w:hAnsi="Century Gothic"/>
          <w:i/>
          <w:sz w:val="20"/>
          <w:szCs w:val="20"/>
        </w:rPr>
        <w:t xml:space="preserve"> </w:t>
      </w:r>
      <w:proofErr w:type="spellStart"/>
      <w:r w:rsidRPr="000F49BB">
        <w:rPr>
          <w:rFonts w:ascii="Century Gothic" w:hAnsi="Century Gothic"/>
          <w:i/>
          <w:sz w:val="20"/>
          <w:szCs w:val="20"/>
        </w:rPr>
        <w:t>kuehniella</w:t>
      </w:r>
      <w:proofErr w:type="spellEnd"/>
      <w:r w:rsidRPr="000F49BB">
        <w:rPr>
          <w:rFonts w:ascii="Century Gothic" w:hAnsi="Century Gothic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274"/>
        <w:gridCol w:w="1771"/>
        <w:gridCol w:w="1771"/>
        <w:gridCol w:w="1772"/>
      </w:tblGrid>
      <w:tr w:rsidR="001A5F61" w:rsidRPr="000F49BB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Alimento larval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 xml:space="preserve">        (ovos)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N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1º ínstar</w:t>
            </w:r>
          </w:p>
        </w:tc>
        <w:tc>
          <w:tcPr>
            <w:tcW w:w="1771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2º ínstar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sz w:val="20"/>
                <w:szCs w:val="20"/>
              </w:rPr>
              <w:t>3º ínstar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Diatraea</w:t>
            </w:r>
            <w:proofErr w:type="spell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saccharalis</w:t>
            </w:r>
            <w:proofErr w:type="spellEnd"/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0,0010a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0,0111c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0,0378c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Sitotroga</w:t>
            </w:r>
            <w:proofErr w:type="gramStart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 xml:space="preserve">  </w:t>
            </w:r>
            <w:proofErr w:type="gramEnd"/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cerealella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0,0011a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0,0120b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0,0492b</w:t>
            </w:r>
          </w:p>
        </w:tc>
      </w:tr>
      <w:tr w:rsidR="001A5F61" w:rsidRPr="000F49BB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 w:rsidRPr="000F49BB">
              <w:rPr>
                <w:rFonts w:ascii="Century Gothic" w:hAnsi="Century Gothic"/>
                <w:b/>
                <w:i/>
                <w:sz w:val="20"/>
                <w:szCs w:val="20"/>
              </w:rPr>
              <w:t>Anagasta kuehniella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0,0012a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0,0148a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0,0577a</w:t>
            </w:r>
          </w:p>
        </w:tc>
      </w:tr>
      <w:tr w:rsidR="001A5F61" w:rsidRPr="000F49BB">
        <w:tc>
          <w:tcPr>
            <w:tcW w:w="2268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proofErr w:type="gramStart"/>
            <w:r w:rsidRPr="000F49BB">
              <w:rPr>
                <w:rFonts w:ascii="Century Gothic" w:hAnsi="Century Gothic"/>
                <w:sz w:val="20"/>
                <w:szCs w:val="20"/>
              </w:rPr>
              <w:t>dms</w:t>
            </w:r>
            <w:proofErr w:type="spellEnd"/>
            <w:proofErr w:type="gramEnd"/>
            <w:r w:rsidRPr="000F49BB">
              <w:rPr>
                <w:rFonts w:ascii="Century Gothic" w:hAnsi="Century Gothic"/>
                <w:sz w:val="20"/>
                <w:szCs w:val="20"/>
              </w:rPr>
              <w:t xml:space="preserve"> (5%)</w:t>
            </w: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CV (%)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:rsidR="001A5F61" w:rsidRPr="000F49BB" w:rsidRDefault="001A5F61" w:rsidP="00C52923">
            <w:pP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0,0024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3,00</w:t>
            </w:r>
          </w:p>
        </w:tc>
        <w:tc>
          <w:tcPr>
            <w:tcW w:w="1771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0,0005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6,00</w:t>
            </w:r>
          </w:p>
        </w:tc>
        <w:tc>
          <w:tcPr>
            <w:tcW w:w="1772" w:type="dxa"/>
            <w:tcBorders>
              <w:left w:val="nil"/>
              <w:right w:val="nil"/>
            </w:tcBorders>
          </w:tcPr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0,0041</w:t>
            </w:r>
          </w:p>
          <w:p w:rsidR="001A5F61" w:rsidRPr="000F49BB" w:rsidRDefault="001A5F61" w:rsidP="009A69BD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49BB">
              <w:rPr>
                <w:rFonts w:ascii="Century Gothic" w:hAnsi="Century Gothic"/>
                <w:sz w:val="20"/>
                <w:szCs w:val="20"/>
              </w:rPr>
              <w:t>4,80</w:t>
            </w:r>
          </w:p>
        </w:tc>
      </w:tr>
    </w:tbl>
    <w:p w:rsidR="001A5F61" w:rsidRPr="000F49BB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Médias seguidas de mesma letra, nas colunas, não diferem entre si pelo teste de Tukey a 5% de probabilidade</w:t>
      </w:r>
    </w:p>
    <w:p w:rsidR="001A5F61" w:rsidRPr="009A69BD" w:rsidRDefault="001A5F61" w:rsidP="009A69BD">
      <w:pPr>
        <w:jc w:val="both"/>
        <w:rPr>
          <w:rFonts w:ascii="Century Gothic" w:hAnsi="Century Gothic"/>
          <w:sz w:val="16"/>
          <w:szCs w:val="16"/>
        </w:rPr>
      </w:pPr>
      <w:r w:rsidRPr="000F49BB">
        <w:rPr>
          <w:rFonts w:ascii="Century Gothic" w:hAnsi="Century Gothic"/>
          <w:sz w:val="16"/>
          <w:szCs w:val="16"/>
        </w:rPr>
        <w:t>N = número de indivíduos avaliados</w:t>
      </w:r>
    </w:p>
    <w:p w:rsidR="001A5F61" w:rsidRPr="00C52923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Pr="00C52923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1A5F61" w:rsidRDefault="001A5F61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:rsidR="009A69BD" w:rsidRPr="00C52923" w:rsidRDefault="009A69BD" w:rsidP="00C52923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sectPr w:rsidR="009A69BD" w:rsidRPr="00C52923" w:rsidSect="00223E5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61"/>
    <w:rsid w:val="00004DF6"/>
    <w:rsid w:val="00053483"/>
    <w:rsid w:val="000F49BB"/>
    <w:rsid w:val="00143169"/>
    <w:rsid w:val="001A5F61"/>
    <w:rsid w:val="001E0AD1"/>
    <w:rsid w:val="001E6DDE"/>
    <w:rsid w:val="00223E57"/>
    <w:rsid w:val="0023144A"/>
    <w:rsid w:val="002E2656"/>
    <w:rsid w:val="006543BA"/>
    <w:rsid w:val="00897F66"/>
    <w:rsid w:val="008B7C4A"/>
    <w:rsid w:val="00984273"/>
    <w:rsid w:val="009A69BD"/>
    <w:rsid w:val="009D75BC"/>
    <w:rsid w:val="00A5531F"/>
    <w:rsid w:val="00B76F0F"/>
    <w:rsid w:val="00BC6554"/>
    <w:rsid w:val="00C272EF"/>
    <w:rsid w:val="00C52923"/>
    <w:rsid w:val="00C95D46"/>
    <w:rsid w:val="00DE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3E57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23E57"/>
    <w:pPr>
      <w:keepNext/>
      <w:spacing w:line="480" w:lineRule="auto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223E57"/>
    <w:pPr>
      <w:keepNext/>
      <w:spacing w:line="480" w:lineRule="auto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3E57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23E57"/>
    <w:pPr>
      <w:keepNext/>
      <w:spacing w:line="480" w:lineRule="auto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223E57"/>
    <w:pPr>
      <w:keepNext/>
      <w:spacing w:line="480" w:lineRule="auto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2311</Words>
  <Characters>12485</Characters>
  <Application>Microsoft Office Word</Application>
  <DocSecurity>0</DocSecurity>
  <Lines>104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ASPECTOS MORFOMÉTRICOS E BIOLÓGICOS DE Ceraeochrysa paraguaria (NAVÁS, 1920) (NEUROPTERA: CHRYSOPIDAE)ALIMENTADA COM DIFERENTES PRESAS</vt:lpstr>
      <vt:lpstr>ASPECTOS MORFOMÉTRICOS E BIOLÓGICOS DE Ceraeochrysa paraguaria (NAVÁS, 1920) (NEUROPTERA: CHRYSOPIDAE)ALIMENTADA COM DIFERENTES PRESAS</vt:lpstr>
    </vt:vector>
  </TitlesOfParts>
  <Company>Hewlett-Packard</Company>
  <LinksUpToDate>false</LinksUpToDate>
  <CharactersWithSpaces>14767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ASPECTOS MORFOMÉTRICOS E BIOLÓGICOS DE Ceraeochrysa paraguaria (NAVÁS, 1920) (NEUROPTERA: CHRYSOPIDAE)ALIMENTADA COM DIFERENTES PRESAS</dc:title>
  <dc:creator>De Bortoli</dc:creator>
  <cp:lastModifiedBy>hp</cp:lastModifiedBy>
  <cp:revision>2</cp:revision>
  <dcterms:created xsi:type="dcterms:W3CDTF">2011-05-17T16:57:00Z</dcterms:created>
  <dcterms:modified xsi:type="dcterms:W3CDTF">2011-05-17T16:57:00Z</dcterms:modified>
</cp:coreProperties>
</file>